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杭州市规划和自然资源局临安分局2020年度政府信息公开工作报告</w:t>
      </w:r>
      <w:bookmarkStart w:id="0" w:name="_GoBack"/>
      <w:bookmarkEnd w:id="0"/>
    </w:p>
    <w:p>
      <w:pPr>
        <w:jc w:val="center"/>
        <w:rPr>
          <w:rFonts w:hint="eastAsia" w:ascii="黑体" w:hAnsi="黑体" w:eastAsia="黑体" w:cs="黑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杭州市规划和自然资源局临安分局按照上级统一要求和部署，根据《中华人民共和国政府信息公开条例》（以下简称《条例》）、《浙江省政府信息公开暂行办法》（以下简称《办法》）和《杭州市人民政府办公厅关于做好2020年政务公开工作总结及政府信息公开工作年度报告有关事项的通知》等规定，依法做好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一、2020年政务公开工作总体情况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（一）主动公开政务信息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2020年度，我局通过政府网站、微信等渠道公开各类政务信息，主要涉及组织机构、法规文件、规划计划、财政信息、人事信息、应急管理、公告公示、其他信息、重点领域信息公开等方面的内容。2020年我局共主动公开政务信息1291条，其中政府网站发布1181条，微信发布110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（二）规范依申请公开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规划和自然资源部门工作社会关注度高、牵涉面广，涉及依申请公开数量也较多。我局一直以来，十分重视依申请公开的管理和服务工作，不断加强依申请公开制度建设，提升依申请公开工作水平。2020年度，我局共收到纸质和网络依申请公开件88件，上年结转政府信息公开申请1件，合计89件，其中予以公开47件，部分予以公开20件，无法提供16件，不予以公开4件，不予处理2件，其它处理0件，内容主要涉及征地拆迁类，政府文件类及其他信息类，我局均严格按照《条例》和《办法》的有关要求，在法定时限履行答复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（三）完善信息公开途径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2020年度，我局的政务信息公开工作紧紧围绕经济社会发展和人民群众关切，以社会需求为导向，以制度机制为基础，以平台建设为载体，继续深入推进。一方面加强网站内容建设和信息发布审核，建立健全政务信息公开申请接受、登记、办理、审核、答复、归档环节工作制度；一方面梳理政务信息公开专栏，确保网站栏目内容准确、发布规范、更新及时。目前我局政务信息公开主要平台为：浙江政务服务网“杭州·临安”门户网站、杭州市规划和自然资源局临安分局部门子站、今日临安、临安规划和自然资源微信公众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（四）开展政策解读方面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本年度我局未发布过行政规范性文件，故未发布行政规范性文件的政策解读内容。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（五）及时回应关切热点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本年度我局在公示公告栏目中发布热点回应2条，分别通过座谈会和政务新媒体的形式对热点舆情进行回应；在“临安智慧人大平台”及时有效回应建议提案。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（六）完善监督保障机制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按照上级关于政务公开工作相关文件部署要求，我局进一步完善强化政务信息公开监督保障机制建设，根据工作调整及时调整政务公开工作领导小组成员，落实政务公开工作分管领导，承办科室及工作人员，明确人员职责，保障政务信息公开的及时性、完整性、准确性。</w:t>
      </w:r>
    </w:p>
    <w:p>
      <w:pPr>
        <w:pStyle w:val="2"/>
        <w:keepNext w:val="0"/>
        <w:keepLines w:val="0"/>
        <w:widowControl/>
        <w:suppressLineNumbers w:val="0"/>
        <w:spacing w:before="0" w:beforeAutospacing="0" w:after="0" w:afterAutospacing="0" w:line="420" w:lineRule="atLeast"/>
        <w:ind w:left="0" w:right="0" w:firstLine="48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333333"/>
          <w:spacing w:val="0"/>
          <w:sz w:val="24"/>
          <w:szCs w:val="24"/>
        </w:rPr>
        <w:t>二、主动公开政府信息情况</w:t>
      </w:r>
    </w:p>
    <w:tbl>
      <w:tblPr>
        <w:tblW w:w="8085" w:type="dxa"/>
        <w:jc w:val="center"/>
        <w:shd w:val="clear"/>
        <w:tblLayout w:type="autofit"/>
        <w:tblCellMar>
          <w:top w:w="15" w:type="dxa"/>
          <w:left w:w="15" w:type="dxa"/>
          <w:bottom w:w="15" w:type="dxa"/>
          <w:right w:w="15" w:type="dxa"/>
        </w:tblCellMar>
      </w:tblPr>
      <w:tblGrid>
        <w:gridCol w:w="3090"/>
        <w:gridCol w:w="1860"/>
        <w:gridCol w:w="1260"/>
        <w:gridCol w:w="1875"/>
      </w:tblGrid>
      <w:tr>
        <w:tblPrEx>
          <w:shd w:val="clear"/>
          <w:tblCellMar>
            <w:top w:w="15" w:type="dxa"/>
            <w:left w:w="15" w:type="dxa"/>
            <w:bottom w:w="15" w:type="dxa"/>
            <w:right w:w="15" w:type="dxa"/>
          </w:tblCellMar>
        </w:tblPrEx>
        <w:trPr>
          <w:trHeight w:val="495" w:hRule="atLeast"/>
          <w:jc w:val="center"/>
        </w:trPr>
        <w:tc>
          <w:tcPr>
            <w:tcW w:w="808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第二十条第（一）项</w:t>
            </w:r>
          </w:p>
        </w:tc>
      </w:tr>
      <w:tr>
        <w:tblPrEx>
          <w:tblCellMar>
            <w:top w:w="15" w:type="dxa"/>
            <w:left w:w="15" w:type="dxa"/>
            <w:bottom w:w="15" w:type="dxa"/>
            <w:right w:w="15" w:type="dxa"/>
          </w:tblCellMar>
        </w:tblPrEx>
        <w:trPr>
          <w:trHeight w:val="88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信息内容</w:t>
            </w:r>
          </w:p>
        </w:tc>
        <w:tc>
          <w:tcPr>
            <w:tcW w:w="1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本年新制作数量</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本年新公开数量</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对外公开总数量</w:t>
            </w:r>
          </w:p>
        </w:tc>
      </w:tr>
      <w:tr>
        <w:tblPrEx>
          <w:tblCellMar>
            <w:top w:w="15" w:type="dxa"/>
            <w:left w:w="15" w:type="dxa"/>
            <w:bottom w:w="15" w:type="dxa"/>
            <w:right w:w="15" w:type="dxa"/>
          </w:tblCellMar>
        </w:tblPrEx>
        <w:trPr>
          <w:trHeight w:val="52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规章</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trHeight w:val="46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规范性文件</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trHeight w:val="480" w:hRule="atLeast"/>
          <w:jc w:val="center"/>
        </w:trPr>
        <w:tc>
          <w:tcPr>
            <w:tcW w:w="808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第二十条第（五）项</w:t>
            </w:r>
          </w:p>
        </w:tc>
      </w:tr>
      <w:tr>
        <w:tblPrEx>
          <w:tblCellMar>
            <w:top w:w="15" w:type="dxa"/>
            <w:left w:w="15" w:type="dxa"/>
            <w:bottom w:w="15" w:type="dxa"/>
            <w:right w:w="15" w:type="dxa"/>
          </w:tblCellMar>
        </w:tblPrEx>
        <w:trPr>
          <w:trHeight w:val="630"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信息内容</w:t>
            </w:r>
          </w:p>
        </w:tc>
        <w:tc>
          <w:tcPr>
            <w:tcW w:w="1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上一年项目数量</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本年增/减</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处理决定数量</w:t>
            </w:r>
          </w:p>
        </w:tc>
      </w:tr>
      <w:tr>
        <w:tblPrEx>
          <w:tblCellMar>
            <w:top w:w="15" w:type="dxa"/>
            <w:left w:w="15" w:type="dxa"/>
            <w:bottom w:w="15" w:type="dxa"/>
            <w:right w:w="15" w:type="dxa"/>
          </w:tblCellMar>
        </w:tblPrEx>
        <w:trPr>
          <w:trHeight w:val="52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行政许可</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52</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减3</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647</w:t>
            </w:r>
          </w:p>
        </w:tc>
      </w:tr>
      <w:tr>
        <w:tblPrEx>
          <w:tblCellMar>
            <w:top w:w="15" w:type="dxa"/>
            <w:left w:w="15" w:type="dxa"/>
            <w:bottom w:w="15" w:type="dxa"/>
            <w:right w:w="15" w:type="dxa"/>
          </w:tblCellMar>
        </w:tblPrEx>
        <w:trPr>
          <w:trHeight w:val="55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其他对外管理服务事项</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214</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21"/>
                <w:szCs w:val="21"/>
                <w:bdr w:val="none" w:color="auto" w:sz="0" w:space="0"/>
              </w:rPr>
              <w:t>减4</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138598</w:t>
            </w:r>
          </w:p>
        </w:tc>
      </w:tr>
      <w:tr>
        <w:tblPrEx>
          <w:tblCellMar>
            <w:top w:w="15" w:type="dxa"/>
            <w:left w:w="15" w:type="dxa"/>
            <w:bottom w:w="15" w:type="dxa"/>
            <w:right w:w="15" w:type="dxa"/>
          </w:tblCellMar>
        </w:tblPrEx>
        <w:trPr>
          <w:trHeight w:val="420" w:hRule="atLeast"/>
          <w:jc w:val="center"/>
        </w:trPr>
        <w:tc>
          <w:tcPr>
            <w:tcW w:w="808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第二十条第（六）项</w:t>
            </w:r>
          </w:p>
        </w:tc>
      </w:tr>
      <w:tr>
        <w:tblPrEx>
          <w:tblCellMar>
            <w:top w:w="15" w:type="dxa"/>
            <w:left w:w="15" w:type="dxa"/>
            <w:bottom w:w="15" w:type="dxa"/>
            <w:right w:w="15" w:type="dxa"/>
          </w:tblCellMar>
        </w:tblPrEx>
        <w:trPr>
          <w:trHeight w:val="630"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信息内容</w:t>
            </w:r>
          </w:p>
        </w:tc>
        <w:tc>
          <w:tcPr>
            <w:tcW w:w="1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上一年项目数量</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本年增/减</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处理决定数量</w:t>
            </w:r>
          </w:p>
        </w:tc>
      </w:tr>
      <w:tr>
        <w:tblPrEx>
          <w:tblCellMar>
            <w:top w:w="15" w:type="dxa"/>
            <w:left w:w="15" w:type="dxa"/>
            <w:bottom w:w="15" w:type="dxa"/>
            <w:right w:w="15" w:type="dxa"/>
          </w:tblCellMar>
        </w:tblPrEx>
        <w:trPr>
          <w:trHeight w:val="43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行政处罚</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121</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减5</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40</w:t>
            </w:r>
          </w:p>
        </w:tc>
      </w:tr>
      <w:tr>
        <w:tblPrEx>
          <w:tblCellMar>
            <w:top w:w="15" w:type="dxa"/>
            <w:left w:w="15" w:type="dxa"/>
            <w:bottom w:w="15" w:type="dxa"/>
            <w:right w:w="15" w:type="dxa"/>
          </w:tblCellMar>
        </w:tblPrEx>
        <w:trPr>
          <w:trHeight w:val="420"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行政强制</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6</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trHeight w:val="480" w:hRule="atLeast"/>
          <w:jc w:val="center"/>
        </w:trPr>
        <w:tc>
          <w:tcPr>
            <w:tcW w:w="808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第二十条第（八）项</w:t>
            </w:r>
          </w:p>
        </w:tc>
      </w:tr>
      <w:tr>
        <w:tblPrEx>
          <w:tblCellMar>
            <w:top w:w="15" w:type="dxa"/>
            <w:left w:w="15" w:type="dxa"/>
            <w:bottom w:w="15" w:type="dxa"/>
            <w:right w:w="15" w:type="dxa"/>
          </w:tblCellMar>
        </w:tblPrEx>
        <w:trPr>
          <w:trHeight w:val="420"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信息内容</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上一年项目数量</w:t>
            </w:r>
          </w:p>
        </w:tc>
        <w:tc>
          <w:tcPr>
            <w:tcW w:w="312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本年增/减</w:t>
            </w:r>
          </w:p>
        </w:tc>
      </w:tr>
      <w:tr>
        <w:tblPrEx>
          <w:tblCellMar>
            <w:top w:w="15" w:type="dxa"/>
            <w:left w:w="15" w:type="dxa"/>
            <w:bottom w:w="15" w:type="dxa"/>
            <w:right w:w="15" w:type="dxa"/>
          </w:tblCellMar>
        </w:tblPrEx>
        <w:trPr>
          <w:trHeight w:val="55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行政事业性收费</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312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trHeight w:val="480" w:hRule="atLeast"/>
          <w:jc w:val="center"/>
        </w:trPr>
        <w:tc>
          <w:tcPr>
            <w:tcW w:w="808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第二十条第（九）项</w:t>
            </w:r>
          </w:p>
        </w:tc>
      </w:tr>
      <w:tr>
        <w:tblPrEx>
          <w:tblCellMar>
            <w:top w:w="15" w:type="dxa"/>
            <w:left w:w="15" w:type="dxa"/>
            <w:bottom w:w="15" w:type="dxa"/>
            <w:right w:w="15" w:type="dxa"/>
          </w:tblCellMar>
        </w:tblPrEx>
        <w:trPr>
          <w:trHeight w:val="58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信息内容</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采购项目数量</w:t>
            </w:r>
          </w:p>
        </w:tc>
        <w:tc>
          <w:tcPr>
            <w:tcW w:w="312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采购总金额</w:t>
            </w:r>
          </w:p>
        </w:tc>
      </w:tr>
      <w:tr>
        <w:tblPrEx>
          <w:tblCellMar>
            <w:top w:w="15" w:type="dxa"/>
            <w:left w:w="15" w:type="dxa"/>
            <w:bottom w:w="15" w:type="dxa"/>
            <w:right w:w="15" w:type="dxa"/>
          </w:tblCellMar>
        </w:tblPrEx>
        <w:trPr>
          <w:trHeight w:val="555" w:hRule="atLeast"/>
          <w:jc w:val="center"/>
        </w:trPr>
        <w:tc>
          <w:tcPr>
            <w:tcW w:w="3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政府集中采购</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6</w:t>
            </w:r>
          </w:p>
        </w:tc>
        <w:tc>
          <w:tcPr>
            <w:tcW w:w="312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24"/>
                <w:szCs w:val="24"/>
                <w:bdr w:val="none" w:color="auto" w:sz="0" w:space="0"/>
              </w:rPr>
              <w:t>3845500元</w:t>
            </w:r>
          </w:p>
        </w:tc>
      </w:tr>
    </w:tbl>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333333"/>
          <w:spacing w:val="0"/>
          <w:sz w:val="24"/>
          <w:szCs w:val="24"/>
        </w:rPr>
        <w:t> </w:t>
      </w:r>
    </w:p>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333333"/>
          <w:spacing w:val="0"/>
          <w:sz w:val="24"/>
          <w:szCs w:val="24"/>
        </w:rPr>
        <w:t> </w:t>
      </w:r>
    </w:p>
    <w:p>
      <w:pPr>
        <w:pStyle w:val="2"/>
        <w:keepNext w:val="0"/>
        <w:keepLines w:val="0"/>
        <w:widowControl/>
        <w:suppressLineNumbers w:val="0"/>
        <w:spacing w:before="0" w:beforeAutospacing="0" w:after="0" w:afterAutospacing="0" w:line="420" w:lineRule="atLeast"/>
        <w:ind w:left="0" w:right="0" w:firstLine="480"/>
        <w:jc w:val="center"/>
        <w:rPr>
          <w:rFonts w:hint="default" w:ascii="sans-serif" w:hAnsi="sans-serif" w:eastAsia="sans-serif" w:cs="sans-serif"/>
          <w:i w:val="0"/>
          <w:caps w:val="0"/>
          <w:color w:val="000000"/>
          <w:spacing w:val="0"/>
          <w:sz w:val="24"/>
          <w:szCs w:val="24"/>
        </w:rPr>
      </w:pPr>
      <w:r>
        <w:rPr>
          <w:rFonts w:hint="eastAsia" w:ascii="宋体" w:hAnsi="宋体" w:eastAsia="宋体" w:cs="宋体"/>
          <w:b/>
          <w:i w:val="0"/>
          <w:caps w:val="0"/>
          <w:color w:val="333333"/>
          <w:spacing w:val="0"/>
          <w:sz w:val="24"/>
          <w:szCs w:val="24"/>
        </w:rPr>
        <w:t>三、</w:t>
      </w:r>
      <w:r>
        <w:rPr>
          <w:rStyle w:val="5"/>
          <w:rFonts w:hint="eastAsia" w:ascii="宋体" w:hAnsi="宋体" w:eastAsia="宋体" w:cs="宋体"/>
          <w:i w:val="0"/>
          <w:caps w:val="0"/>
          <w:color w:val="333333"/>
          <w:spacing w:val="0"/>
          <w:sz w:val="24"/>
          <w:szCs w:val="24"/>
        </w:rPr>
        <w:t>收到和处理政府信息公开申请情况</w:t>
      </w:r>
    </w:p>
    <w:tbl>
      <w:tblPr>
        <w:tblW w:w="8145" w:type="dxa"/>
        <w:jc w:val="center"/>
        <w:shd w:val="clear"/>
        <w:tblLayout w:type="autofit"/>
        <w:tblCellMar>
          <w:top w:w="15" w:type="dxa"/>
          <w:left w:w="15" w:type="dxa"/>
          <w:bottom w:w="15" w:type="dxa"/>
          <w:right w:w="15" w:type="dxa"/>
        </w:tblCellMar>
      </w:tblPr>
      <w:tblGrid>
        <w:gridCol w:w="590"/>
        <w:gridCol w:w="780"/>
        <w:gridCol w:w="1947"/>
        <w:gridCol w:w="614"/>
        <w:gridCol w:w="675"/>
        <w:gridCol w:w="675"/>
        <w:gridCol w:w="735"/>
        <w:gridCol w:w="869"/>
        <w:gridCol w:w="630"/>
        <w:gridCol w:w="630"/>
      </w:tblGrid>
      <w:tr>
        <w:tblPrEx>
          <w:shd w:val="clear"/>
          <w:tblCellMar>
            <w:top w:w="15" w:type="dxa"/>
            <w:left w:w="15" w:type="dxa"/>
            <w:bottom w:w="15" w:type="dxa"/>
            <w:right w:w="15" w:type="dxa"/>
          </w:tblCellMar>
        </w:tblPrEx>
        <w:trPr>
          <w:jc w:val="center"/>
        </w:trPr>
        <w:tc>
          <w:tcPr>
            <w:tcW w:w="3315"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（本列数据的勾稽关系为：第一项加第二项之和，等于第三项加第四项之和）</w:t>
            </w:r>
          </w:p>
        </w:tc>
        <w:tc>
          <w:tcPr>
            <w:tcW w:w="483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申请人情况</w:t>
            </w:r>
          </w:p>
        </w:tc>
      </w:tr>
      <w:tr>
        <w:tblPrEx>
          <w:tblCellMar>
            <w:top w:w="15" w:type="dxa"/>
            <w:left w:w="15" w:type="dxa"/>
            <w:bottom w:w="15" w:type="dxa"/>
            <w:right w:w="15" w:type="dxa"/>
          </w:tblCellMar>
        </w:tblPrEx>
        <w:trPr>
          <w:jc w:val="center"/>
        </w:trPr>
        <w:tc>
          <w:tcPr>
            <w:tcW w:w="331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1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自然人</w:t>
            </w:r>
          </w:p>
        </w:tc>
        <w:tc>
          <w:tcPr>
            <w:tcW w:w="3585"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法人或其他组织</w:t>
            </w:r>
          </w:p>
        </w:tc>
        <w:tc>
          <w:tcPr>
            <w:tcW w:w="63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总计</w:t>
            </w:r>
          </w:p>
        </w:tc>
      </w:tr>
      <w:tr>
        <w:tblPrEx>
          <w:tblCellMar>
            <w:top w:w="15" w:type="dxa"/>
            <w:left w:w="15" w:type="dxa"/>
            <w:bottom w:w="15" w:type="dxa"/>
            <w:right w:w="15" w:type="dxa"/>
          </w:tblCellMar>
        </w:tblPrEx>
        <w:trPr>
          <w:jc w:val="center"/>
        </w:trPr>
        <w:tc>
          <w:tcPr>
            <w:tcW w:w="331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1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商业企业</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科研机构</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社会公益组织</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法律服务机构</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其他</w:t>
            </w:r>
          </w:p>
        </w:tc>
        <w:tc>
          <w:tcPr>
            <w:tcW w:w="63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jc w:val="center"/>
        </w:trPr>
        <w:tc>
          <w:tcPr>
            <w:tcW w:w="331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一、本年新收政府信息公开申请数量</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88</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88</w:t>
            </w:r>
          </w:p>
        </w:tc>
      </w:tr>
      <w:tr>
        <w:tblPrEx>
          <w:tblCellMar>
            <w:top w:w="15" w:type="dxa"/>
            <w:left w:w="15" w:type="dxa"/>
            <w:bottom w:w="15" w:type="dxa"/>
            <w:right w:w="15" w:type="dxa"/>
          </w:tblCellMar>
        </w:tblPrEx>
        <w:trPr>
          <w:jc w:val="center"/>
        </w:trPr>
        <w:tc>
          <w:tcPr>
            <w:tcW w:w="331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二、上年结转政府信息公开申请数量</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1</w:t>
            </w:r>
          </w:p>
        </w:tc>
      </w:tr>
      <w:tr>
        <w:tblPrEx>
          <w:tblCellMar>
            <w:top w:w="15" w:type="dxa"/>
            <w:left w:w="15" w:type="dxa"/>
            <w:bottom w:w="15" w:type="dxa"/>
            <w:right w:w="15" w:type="dxa"/>
          </w:tblCellMar>
        </w:tblPrEx>
        <w:trPr>
          <w:jc w:val="center"/>
        </w:trPr>
        <w:tc>
          <w:tcPr>
            <w:tcW w:w="5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三、本年度办理结果</w:t>
            </w:r>
          </w:p>
        </w:tc>
        <w:tc>
          <w:tcPr>
            <w:tcW w:w="27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ascii="楷体" w:hAnsi="楷体" w:eastAsia="楷体" w:cs="楷体"/>
                <w:sz w:val="19"/>
                <w:szCs w:val="19"/>
                <w:bdr w:val="none" w:color="auto" w:sz="0" w:space="0"/>
              </w:rPr>
              <w:t>（一）予以公开</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47</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47</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（二）部分公开（区分处理的，只计这一情形，不计其他情形）</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20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20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（三）不予公开</w:t>
            </w: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1.属于国家秘密</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2.其他法律行政法规禁止公开</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3.危及“三安全一稳定”</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4.保护第三方合法权益</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5.属于三类内部事务信息</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6.属于四类过程性信息</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7.属于行政执法案卷</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trHeight w:val="645" w:hRule="atLeast"/>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8.属于行政查询事项</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4</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4</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（四）无法提供</w:t>
            </w: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1.本机关不掌握相关政府信息</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16</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16</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2.没有现成信息需要另行制作</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3.补正后申请内容仍不明确</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（五）不予处理</w:t>
            </w: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1.信访举报投诉类申请</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2</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2.重复申请</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3.要求提供公开出版物</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4.无正当理由大量反复申请</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5.要求行政机关确认或重新出具已获取信息</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（六）其他处理</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r>
      <w:tr>
        <w:tblPrEx>
          <w:tblCellMar>
            <w:top w:w="15" w:type="dxa"/>
            <w:left w:w="15" w:type="dxa"/>
            <w:bottom w:w="15" w:type="dxa"/>
            <w:right w:w="15" w:type="dxa"/>
          </w:tblCellMar>
        </w:tblPrEx>
        <w:trPr>
          <w:jc w:val="center"/>
        </w:trPr>
        <w:tc>
          <w:tcPr>
            <w:tcW w:w="5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楷体" w:hAnsi="楷体" w:eastAsia="楷体" w:cs="楷体"/>
                <w:sz w:val="19"/>
                <w:szCs w:val="19"/>
                <w:bdr w:val="none" w:color="auto" w:sz="0" w:space="0"/>
              </w:rPr>
              <w:t>（七）总计</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89</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19"/>
                <w:szCs w:val="19"/>
                <w:bdr w:val="none" w:color="auto" w:sz="0" w:space="0"/>
              </w:rPr>
              <w:t>89</w:t>
            </w:r>
          </w:p>
        </w:tc>
      </w:tr>
      <w:tr>
        <w:tblPrEx>
          <w:tblCellMar>
            <w:top w:w="15" w:type="dxa"/>
            <w:left w:w="15" w:type="dxa"/>
            <w:bottom w:w="15" w:type="dxa"/>
            <w:right w:w="15" w:type="dxa"/>
          </w:tblCellMar>
        </w:tblPrEx>
        <w:trPr>
          <w:jc w:val="center"/>
        </w:trPr>
        <w:tc>
          <w:tcPr>
            <w:tcW w:w="331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四、结转下年度继续办理</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0</w:t>
            </w:r>
          </w:p>
        </w:tc>
      </w:tr>
    </w:tbl>
    <w:p>
      <w:pPr>
        <w:pStyle w:val="2"/>
        <w:keepNext w:val="0"/>
        <w:keepLines w:val="0"/>
        <w:widowControl/>
        <w:suppressLineNumbers w:val="0"/>
        <w:spacing w:before="0" w:beforeAutospacing="0" w:after="0" w:afterAutospacing="0" w:line="420" w:lineRule="atLeast"/>
        <w:ind w:left="0" w:right="0" w:firstLine="48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333333"/>
          <w:spacing w:val="0"/>
          <w:sz w:val="24"/>
          <w:szCs w:val="24"/>
        </w:rPr>
        <w:t>四、政府信息公开行政复议、行政诉讼情况</w:t>
      </w:r>
    </w:p>
    <w:tbl>
      <w:tblPr>
        <w:tblW w:w="8145" w:type="dxa"/>
        <w:jc w:val="center"/>
        <w:shd w:val="clear"/>
        <w:tblLayout w:type="autofit"/>
        <w:tblCellMar>
          <w:top w:w="15" w:type="dxa"/>
          <w:left w:w="15" w:type="dxa"/>
          <w:bottom w:w="15" w:type="dxa"/>
          <w:right w:w="15" w:type="dxa"/>
        </w:tblCellMar>
      </w:tblPr>
      <w:tblGrid>
        <w:gridCol w:w="686"/>
        <w:gridCol w:w="509"/>
        <w:gridCol w:w="509"/>
        <w:gridCol w:w="509"/>
        <w:gridCol w:w="553"/>
        <w:gridCol w:w="494"/>
        <w:gridCol w:w="538"/>
        <w:gridCol w:w="689"/>
        <w:gridCol w:w="400"/>
        <w:gridCol w:w="553"/>
        <w:gridCol w:w="538"/>
        <w:gridCol w:w="538"/>
        <w:gridCol w:w="538"/>
        <w:gridCol w:w="538"/>
        <w:gridCol w:w="553"/>
      </w:tblGrid>
      <w:tr>
        <w:tblPrEx>
          <w:shd w:val="clear"/>
          <w:tblCellMar>
            <w:top w:w="15" w:type="dxa"/>
            <w:left w:w="15" w:type="dxa"/>
            <w:bottom w:w="15" w:type="dxa"/>
            <w:right w:w="15" w:type="dxa"/>
          </w:tblCellMar>
        </w:tblPrEx>
        <w:trPr>
          <w:jc w:val="center"/>
        </w:trPr>
        <w:tc>
          <w:tcPr>
            <w:tcW w:w="276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行政复议</w:t>
            </w:r>
          </w:p>
        </w:tc>
        <w:tc>
          <w:tcPr>
            <w:tcW w:w="5385" w:type="dxa"/>
            <w:gridSpan w:val="10"/>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行政诉讼</w:t>
            </w:r>
          </w:p>
        </w:tc>
      </w:tr>
      <w:tr>
        <w:tblPrEx>
          <w:tblCellMar>
            <w:top w:w="15" w:type="dxa"/>
            <w:left w:w="15" w:type="dxa"/>
            <w:bottom w:w="15" w:type="dxa"/>
            <w:right w:w="15" w:type="dxa"/>
          </w:tblCellMar>
        </w:tblPrEx>
        <w:trPr>
          <w:jc w:val="center"/>
        </w:trPr>
        <w:tc>
          <w:tcPr>
            <w:tcW w:w="69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结果维持</w:t>
            </w:r>
          </w:p>
        </w:tc>
        <w:tc>
          <w:tcPr>
            <w:tcW w:w="5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结果纠正</w:t>
            </w:r>
          </w:p>
        </w:tc>
        <w:tc>
          <w:tcPr>
            <w:tcW w:w="51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其他结果</w:t>
            </w:r>
          </w:p>
        </w:tc>
        <w:tc>
          <w:tcPr>
            <w:tcW w:w="51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尚未审结</w:t>
            </w:r>
          </w:p>
        </w:tc>
        <w:tc>
          <w:tcPr>
            <w:tcW w:w="55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总计</w:t>
            </w:r>
          </w:p>
        </w:tc>
        <w:tc>
          <w:tcPr>
            <w:tcW w:w="267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未经复议直接起诉</w:t>
            </w:r>
          </w:p>
        </w:tc>
        <w:tc>
          <w:tcPr>
            <w:tcW w:w="2715"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复议后起诉</w:t>
            </w:r>
          </w:p>
        </w:tc>
      </w:tr>
      <w:tr>
        <w:tblPrEx>
          <w:tblCellMar>
            <w:top w:w="15" w:type="dxa"/>
            <w:left w:w="15" w:type="dxa"/>
            <w:bottom w:w="15" w:type="dxa"/>
            <w:right w:w="15" w:type="dxa"/>
          </w:tblCellMar>
        </w:tblPrEx>
        <w:trPr>
          <w:jc w:val="center"/>
        </w:trPr>
        <w:tc>
          <w:tcPr>
            <w:tcW w:w="69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1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1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5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结果维持</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结果纠正</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其他结果</w:t>
            </w:r>
          </w:p>
        </w:tc>
        <w:tc>
          <w:tcPr>
            <w:tcW w:w="3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尚未审结</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总计</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结果维持</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结果纠正</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其他结果</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尚未审结</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19"/>
                <w:szCs w:val="19"/>
                <w:bdr w:val="none" w:color="auto" w:sz="0" w:space="0"/>
              </w:rPr>
              <w:t>总计</w:t>
            </w:r>
          </w:p>
        </w:tc>
      </w:tr>
      <w:tr>
        <w:tblPrEx>
          <w:tblCellMar>
            <w:top w:w="15" w:type="dxa"/>
            <w:left w:w="15" w:type="dxa"/>
            <w:bottom w:w="15" w:type="dxa"/>
            <w:right w:w="15" w:type="dxa"/>
          </w:tblCellMar>
        </w:tblPrEx>
        <w:trPr>
          <w:jc w:val="center"/>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22"/>
                <w:szCs w:val="22"/>
                <w:bdr w:val="none" w:color="auto" w:sz="0" w:space="0"/>
              </w:rPr>
              <w:t>1（撤诉）</w:t>
            </w: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rPr>
                <w:sz w:val="21"/>
                <w:szCs w:val="21"/>
              </w:rPr>
            </w:pPr>
            <w:r>
              <w:rPr>
                <w:rFonts w:hint="eastAsia" w:ascii="宋体" w:hAnsi="宋体" w:eastAsia="宋体" w:cs="宋体"/>
                <w:sz w:val="22"/>
                <w:szCs w:val="22"/>
                <w:bdr w:val="none" w:color="auto" w:sz="0" w:space="0"/>
              </w:rPr>
              <w:t>2</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sz w:val="24"/>
                <w:szCs w:val="24"/>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1、政务公开机制需进一步完善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政策解读的针对性、时效性、有效性需进一步加强；对于热点信息的及时有效回应有待提高；面对依申请公开数量的持续高位，我局仍需进一步探索依申请公开向主动公开转化的路径和机制。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2、政务公开工作队伍建设需进一步加强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在政务信息公开工作有更高更新要求下，我局政务信息公开机构和人员队伍建设与当前形势发展之间还存在一些差距，工作人员理论水平、政策把握能力还有待加强，处理公开具体工作中复杂问题办法还不够多。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（二）2021年工作思路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1、强化政务信息公开工作管理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我局将继续落实《政府网站发展指引》（国办发〔2017〕47号），及时对栏目设置进行改版，增强信息发布功能，强化资源整合和开放共享，在推进政务公开、服务群众办事方面更好地发挥作用。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2、规范做好依申请公开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对照新《政府信息公开条例》以及职责任务变化，动态更新调整主动公开目录；加强对相关工作人员的教育培训，优化依申请公开办理系统，依法保障公民、法人和其他组织获取政府信息。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本年度无其他需要报告的事项。</w:t>
      </w:r>
    </w:p>
    <w:p>
      <w:pPr>
        <w:jc w:val="center"/>
        <w:rPr>
          <w:rFonts w:hint="eastAsia" w:ascii="黑体" w:hAnsi="黑体" w:eastAsia="黑体" w:cs="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B0407"/>
    <w:rsid w:val="20A4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2021-02-19T00:56:15Z</dcterms:created>
  <dc:creator>Administrator</dc:creator>
  <cp:lastModifiedBy>yang</cp:lastModifiedBy>
  <dcterms:modified xsi:type="dcterms:W3CDTF">2021-02-19T00:58:54Z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