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44"/>
          <w:szCs w:val="32"/>
        </w:rPr>
        <w:t>临安区2019年建设类规划编制项目绩效评价报告</w:t>
      </w:r>
    </w:p>
    <w:p>
      <w:pPr>
        <w:ind w:firstLine="643" w:firstLineChars="200"/>
        <w:jc w:val="center"/>
        <w:rPr>
          <w:b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为进一步规范和加强建设类规划项目资金管理，提高财政资金使用效益和管理水平，根据临安区财政局有关财政支出考核管理办法及绩效评价办法要求，对规划项目资金基本收支、资金管理管理使用、资金绩效等情况进行抽查与核实，对照评价指标和标准进行评议和打分，形成评价报告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/>
          <w:bCs/>
          <w:sz w:val="32"/>
          <w:szCs w:val="28"/>
        </w:rPr>
      </w:pPr>
      <w:r>
        <w:rPr>
          <w:rFonts w:hint="eastAsia" w:ascii="黑体" w:hAnsi="黑体" w:eastAsia="黑体"/>
          <w:bCs/>
          <w:sz w:val="32"/>
          <w:szCs w:val="28"/>
        </w:rPr>
        <w:t>项目基本情况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2019年建设类规划项目绩效根据年初设定的绩效目标，自评结论为“优”。项目全年预算数为1011万元，执行数为1011万元，完成预算的100%。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/>
          <w:bCs/>
          <w:sz w:val="32"/>
          <w:szCs w:val="28"/>
        </w:rPr>
      </w:pPr>
      <w:r>
        <w:rPr>
          <w:rFonts w:hint="eastAsia" w:ascii="黑体" w:hAnsi="黑体" w:eastAsia="黑体"/>
          <w:bCs/>
          <w:sz w:val="32"/>
          <w:szCs w:val="28"/>
        </w:rPr>
        <w:t>项目绩效目标完成情况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开展了我区新一轮国土空间总体规划的编制，保障了美丽庭院、路网建设计划、城市绿道、工业政策制定、全域旅游、殡葬规划、农房图集、城市设计、美丽西大门、步行街、分区照明等规划项目的实施。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优化了我区城乡土地资源配置，协调了各类项目的建设时序，有效提供了更广泛的公共服务，在实现经济社会协调持续发展、维护公共利益等方面，发挥着日益突出的作用。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/>
          <w:bCs/>
          <w:sz w:val="32"/>
          <w:szCs w:val="28"/>
        </w:rPr>
      </w:pPr>
      <w:r>
        <w:rPr>
          <w:rFonts w:hint="eastAsia" w:ascii="黑体" w:hAnsi="黑体" w:eastAsia="黑体"/>
          <w:bCs/>
          <w:sz w:val="32"/>
          <w:szCs w:val="28"/>
        </w:rPr>
        <w:t>项目资金收支情况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ascii="仿宋" w:hAnsi="仿宋" w:eastAsia="仿宋"/>
          <w:sz w:val="32"/>
          <w:szCs w:val="28"/>
        </w:rPr>
        <w:t>1</w:t>
      </w:r>
      <w:r>
        <w:rPr>
          <w:rFonts w:hint="eastAsia" w:ascii="仿宋" w:hAnsi="仿宋" w:eastAsia="仿宋"/>
          <w:sz w:val="32"/>
          <w:szCs w:val="28"/>
        </w:rPr>
        <w:t>、项目总投资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项目预算总投资1011万，财政划拨。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2、项目支出情况</w:t>
      </w:r>
    </w:p>
    <w:p>
      <w:pPr>
        <w:ind w:firstLine="640" w:firstLineChars="200"/>
        <w:rPr>
          <w:rFonts w:ascii="仿宋" w:hAnsi="仿宋" w:eastAsia="仿宋"/>
          <w:color w:val="00B0F0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项目实际支出1011万元，其中：临安区国土空间规划研究233.23万元；大天目战略规划研究86.4万元；临安区2019年度纵向干道整治总体交通方案设计及施工期交通组织研究</w:t>
      </w:r>
      <w:r>
        <w:rPr>
          <w:rFonts w:ascii="仿宋" w:hAnsi="仿宋" w:eastAsia="仿宋"/>
          <w:sz w:val="32"/>
          <w:szCs w:val="28"/>
        </w:rPr>
        <w:t>49.7</w:t>
      </w:r>
      <w:r>
        <w:rPr>
          <w:rFonts w:hint="eastAsia" w:ascii="仿宋" w:hAnsi="仿宋" w:eastAsia="仿宋"/>
          <w:sz w:val="32"/>
          <w:szCs w:val="28"/>
        </w:rPr>
        <w:t>万元；临安区</w:t>
      </w:r>
      <w:r>
        <w:rPr>
          <w:rFonts w:ascii="仿宋" w:hAnsi="仿宋" w:eastAsia="仿宋"/>
          <w:sz w:val="32"/>
          <w:szCs w:val="28"/>
        </w:rPr>
        <w:t>综合交通规划</w:t>
      </w:r>
      <w:r>
        <w:rPr>
          <w:rFonts w:hint="eastAsia" w:ascii="仿宋" w:hAnsi="仿宋" w:eastAsia="仿宋"/>
          <w:sz w:val="32"/>
          <w:szCs w:val="28"/>
        </w:rPr>
        <w:t>2.9万元；临安区分区照明专项规划9万元；农村住房设计通用图集编制及修改39.8863万元；临安区规划一张图数据库更新服务40.48万元；临安区“一核四园”产业平台控制性详细规划43.2万元；村庄规划编制137.714万元；传统村落保护规划93.6万元；景杉渠水质改善工程，9.8722万元；市政服务设施布局规划13.2万元；历史建筑保护规划60万元；杭临绩高铁战略研究19.66万元；17-19年中心城区新增建设用地指标调整28.9万元；</w:t>
      </w:r>
      <w:r>
        <w:rPr>
          <w:rFonts w:hint="eastAsia" w:ascii="仿宋" w:hAnsi="仿宋" w:eastAsia="仿宋"/>
          <w:sz w:val="32"/>
          <w:szCs w:val="28"/>
          <w:highlight w:val="none"/>
        </w:rPr>
        <w:t>土地利用总体规划118.8万元；</w:t>
      </w:r>
      <w:r>
        <w:rPr>
          <w:rFonts w:hint="eastAsia" w:ascii="仿宋" w:hAnsi="仿宋" w:eastAsia="仿宋"/>
          <w:sz w:val="32"/>
          <w:szCs w:val="28"/>
        </w:rPr>
        <w:t>标准农田占补置换方案24.5万元。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/>
          <w:bCs/>
          <w:sz w:val="32"/>
          <w:szCs w:val="28"/>
        </w:rPr>
      </w:pPr>
      <w:r>
        <w:rPr>
          <w:rFonts w:hint="eastAsia" w:ascii="黑体" w:hAnsi="黑体" w:eastAsia="黑体"/>
          <w:bCs/>
          <w:sz w:val="32"/>
          <w:szCs w:val="28"/>
        </w:rPr>
        <w:t>项目评价结论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1、建筑类规划项目总体实施良好，各项规划大幅优化了我区城乡土地资源配置，协调了各类项目的建设时序，有效提供了更广泛的公共服务，在实现经济社会协调持续发展、维护公共利益等方面，发挥着日益突出的作用。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2、规划业务主管部门与各部门的业务对接有待进一步提升，在规划编制的过程中，有些部门与规划编制单位的沟通不足，编制的规划难以切实有效的符合当地实际需求，规划落地性不足。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3、</w:t>
      </w:r>
      <w:r>
        <w:rPr>
          <w:rFonts w:ascii="仿宋" w:hAnsi="仿宋" w:eastAsia="仿宋"/>
          <w:sz w:val="32"/>
          <w:szCs w:val="28"/>
        </w:rPr>
        <w:t>规划经费的执行情况有待进一步改善，个别部门年初急于开展规划项目，但在后续招投标、合同签订等环节进展较为缓慢，导致部分规划经费“躺”在账上的情况仍有发生，经费的执行率有待进一步提升。</w:t>
      </w:r>
    </w:p>
    <w:p>
      <w:pPr>
        <w:numPr>
          <w:ilvl w:val="0"/>
          <w:numId w:val="1"/>
        </w:numPr>
        <w:ind w:firstLine="643" w:firstLineChars="200"/>
        <w:rPr>
          <w:rFonts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相关意见及建议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ascii="仿宋" w:hAnsi="仿宋" w:eastAsia="仿宋"/>
          <w:sz w:val="32"/>
          <w:szCs w:val="28"/>
        </w:rPr>
        <w:t>在2020年规划大调整和十四五全面编制时期，各部门对规划编制的需求十分强烈</w:t>
      </w:r>
      <w:r>
        <w:rPr>
          <w:rFonts w:hint="eastAsia" w:ascii="仿宋" w:hAnsi="仿宋" w:eastAsia="仿宋"/>
          <w:sz w:val="32"/>
          <w:szCs w:val="28"/>
        </w:rPr>
        <w:t>，要</w:t>
      </w:r>
      <w:r>
        <w:rPr>
          <w:rFonts w:ascii="仿宋" w:hAnsi="仿宋" w:eastAsia="仿宋"/>
          <w:sz w:val="32"/>
          <w:szCs w:val="28"/>
        </w:rPr>
        <w:t>加强对规划经费</w:t>
      </w:r>
      <w:r>
        <w:rPr>
          <w:rFonts w:hint="eastAsia" w:ascii="仿宋" w:hAnsi="仿宋" w:eastAsia="仿宋"/>
          <w:sz w:val="32"/>
          <w:szCs w:val="28"/>
        </w:rPr>
        <w:t>的</w:t>
      </w:r>
      <w:r>
        <w:rPr>
          <w:rFonts w:ascii="仿宋" w:hAnsi="仿宋" w:eastAsia="仿宋"/>
          <w:sz w:val="32"/>
          <w:szCs w:val="28"/>
        </w:rPr>
        <w:t>统筹管理和支持力度</w:t>
      </w:r>
      <w:r>
        <w:rPr>
          <w:rFonts w:hint="eastAsia" w:ascii="仿宋" w:hAnsi="仿宋" w:eastAsia="仿宋"/>
          <w:sz w:val="32"/>
          <w:szCs w:val="28"/>
        </w:rPr>
        <w:t>，</w:t>
      </w:r>
      <w:r>
        <w:rPr>
          <w:rFonts w:ascii="仿宋" w:hAnsi="仿宋" w:eastAsia="仿宋"/>
          <w:sz w:val="32"/>
          <w:szCs w:val="28"/>
        </w:rPr>
        <w:t>在经费有限的情况下争取</w:t>
      </w:r>
      <w:r>
        <w:rPr>
          <w:rFonts w:hint="eastAsia" w:ascii="仿宋" w:hAnsi="仿宋" w:eastAsia="仿宋"/>
          <w:sz w:val="32"/>
          <w:szCs w:val="28"/>
        </w:rPr>
        <w:t>更加</w:t>
      </w:r>
      <w:r>
        <w:rPr>
          <w:rFonts w:ascii="仿宋" w:hAnsi="仿宋" w:eastAsia="仿宋"/>
          <w:sz w:val="32"/>
          <w:szCs w:val="28"/>
        </w:rPr>
        <w:t>集约节约利用资金</w:t>
      </w:r>
      <w:r>
        <w:rPr>
          <w:rFonts w:hint="eastAsia" w:ascii="仿宋" w:hAnsi="仿宋" w:eastAsia="仿宋"/>
          <w:sz w:val="32"/>
          <w:szCs w:val="28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ascii="仿宋" w:hAnsi="仿宋" w:eastAsia="仿宋"/>
          <w:sz w:val="32"/>
          <w:szCs w:val="28"/>
        </w:rPr>
        <w:t>做好经费执行率的统筹，将上一年度部门规划经费执行情况与下一年度预算结合起来</w:t>
      </w:r>
      <w:r>
        <w:rPr>
          <w:rFonts w:hint="eastAsia" w:ascii="仿宋" w:hAnsi="仿宋" w:eastAsia="仿宋"/>
          <w:sz w:val="32"/>
          <w:szCs w:val="28"/>
        </w:rPr>
        <w:t>，</w:t>
      </w:r>
      <w:r>
        <w:rPr>
          <w:rFonts w:ascii="仿宋" w:hAnsi="仿宋" w:eastAsia="仿宋"/>
          <w:sz w:val="32"/>
          <w:szCs w:val="28"/>
        </w:rPr>
        <w:t>督促各单位做好规划经费的使用。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3、强化管理意识，督促提升中介单位的设计质量，加强与中介单位的项目沟通，以畅通沟通渠道。</w:t>
      </w:r>
    </w:p>
    <w:p>
      <w:pPr>
        <w:rPr>
          <w:rFonts w:ascii="仿宋" w:hAnsi="仿宋" w:eastAsia="仿宋"/>
          <w:sz w:val="32"/>
          <w:szCs w:val="28"/>
        </w:rPr>
      </w:pPr>
    </w:p>
    <w:p>
      <w:pPr>
        <w:rPr>
          <w:rFonts w:ascii="仿宋" w:hAnsi="仿宋" w:eastAsia="仿宋"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15141"/>
    <w:multiLevelType w:val="singleLevel"/>
    <w:tmpl w:val="8CF15141"/>
    <w:lvl w:ilvl="0" w:tentative="0">
      <w:start w:val="1"/>
      <w:numFmt w:val="decimal"/>
      <w:suff w:val="nothing"/>
      <w:lvlText w:val="%1、"/>
      <w:lvlJc w:val="left"/>
      <w:rPr>
        <w:b w:val="0"/>
      </w:rPr>
    </w:lvl>
  </w:abstractNum>
  <w:abstractNum w:abstractNumId="1">
    <w:nsid w:val="201F0DBA"/>
    <w:multiLevelType w:val="singleLevel"/>
    <w:tmpl w:val="201F0DB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F69BC25"/>
    <w:multiLevelType w:val="singleLevel"/>
    <w:tmpl w:val="3F69BC2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47"/>
    <w:rsid w:val="0014536D"/>
    <w:rsid w:val="00185C28"/>
    <w:rsid w:val="002D5FB1"/>
    <w:rsid w:val="003F6014"/>
    <w:rsid w:val="004E6911"/>
    <w:rsid w:val="005315FE"/>
    <w:rsid w:val="00544797"/>
    <w:rsid w:val="00665E61"/>
    <w:rsid w:val="007E090D"/>
    <w:rsid w:val="007F70A9"/>
    <w:rsid w:val="00807DFB"/>
    <w:rsid w:val="00884BB8"/>
    <w:rsid w:val="009732A9"/>
    <w:rsid w:val="009D5F71"/>
    <w:rsid w:val="00A22757"/>
    <w:rsid w:val="00A90A5C"/>
    <w:rsid w:val="00B35B4F"/>
    <w:rsid w:val="00BD0774"/>
    <w:rsid w:val="00C634F3"/>
    <w:rsid w:val="00D54D28"/>
    <w:rsid w:val="00E40A4C"/>
    <w:rsid w:val="00E511CA"/>
    <w:rsid w:val="00F60E47"/>
    <w:rsid w:val="075C70B5"/>
    <w:rsid w:val="160379F8"/>
    <w:rsid w:val="19B469BE"/>
    <w:rsid w:val="21985956"/>
    <w:rsid w:val="2B7D2FA8"/>
    <w:rsid w:val="3ABA66FB"/>
    <w:rsid w:val="4FBB46F9"/>
    <w:rsid w:val="53036267"/>
    <w:rsid w:val="6B436DBC"/>
    <w:rsid w:val="7FE4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191</Words>
  <Characters>1092</Characters>
  <Lines>9</Lines>
  <Paragraphs>2</Paragraphs>
  <TotalTime>342</TotalTime>
  <ScaleCrop>false</ScaleCrop>
  <LinksUpToDate>false</LinksUpToDate>
  <CharactersWithSpaces>1281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2020-09-03T02:38:00Z</dcterms:created>
  <dc:creator>User</dc:creator>
  <cp:lastModifiedBy>Administrator</cp:lastModifiedBy>
  <dcterms:modified xsi:type="dcterms:W3CDTF">2020-09-04T07:10:26Z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