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Cs w:val="32"/>
        </w:rPr>
      </w:pPr>
      <w:r>
        <w:rPr>
          <w:rFonts w:hint="eastAsia" w:ascii="黑体" w:eastAsia="黑体"/>
          <w:szCs w:val="32"/>
        </w:rPr>
        <w:t>附件：</w:t>
      </w:r>
    </w:p>
    <w:p>
      <w:pPr>
        <w:jc w:val="center"/>
        <w:rPr>
          <w:rFonts w:hint="eastAsia" w:ascii="微软简标宋" w:hAnsi="宋体" w:eastAsia="微软简标宋"/>
          <w:sz w:val="42"/>
          <w:szCs w:val="42"/>
          <w:lang w:eastAsia="zh-CN"/>
        </w:rPr>
      </w:pPr>
      <w:r>
        <w:rPr>
          <w:rFonts w:hint="eastAsia" w:ascii="微软简标宋" w:hAnsi="宋体" w:eastAsia="微软简标宋"/>
          <w:sz w:val="42"/>
          <w:szCs w:val="42"/>
        </w:rPr>
        <w:t>2021年度临安区第</w:t>
      </w:r>
      <w:r>
        <w:rPr>
          <w:rFonts w:hint="eastAsia" w:ascii="微软简标宋" w:hAnsi="宋体" w:eastAsia="微软简标宋"/>
          <w:sz w:val="42"/>
          <w:szCs w:val="42"/>
          <w:lang w:eastAsia="zh-CN"/>
        </w:rPr>
        <w:t>二</w:t>
      </w:r>
      <w:r>
        <w:rPr>
          <w:rFonts w:hint="eastAsia" w:ascii="微软简标宋" w:hAnsi="宋体" w:eastAsia="微软简标宋"/>
          <w:sz w:val="42"/>
          <w:szCs w:val="42"/>
        </w:rPr>
        <w:t>批重大文化创意活动资助经费情况一览表</w:t>
      </w:r>
    </w:p>
    <w:p>
      <w:pPr>
        <w:rPr>
          <w:rFonts w:ascii="微软简标宋" w:hAnsi="宋体" w:eastAsia="微软简标宋"/>
          <w:sz w:val="36"/>
          <w:szCs w:val="36"/>
        </w:rPr>
      </w:pPr>
    </w:p>
    <w:tbl>
      <w:tblPr>
        <w:tblStyle w:val="4"/>
        <w:tblW w:w="48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60" w:type="dxa"/>
          <w:bottom w:w="0" w:type="dxa"/>
          <w:right w:w="60" w:type="dxa"/>
        </w:tblCellMar>
      </w:tblPr>
      <w:tblGrid>
        <w:gridCol w:w="758"/>
        <w:gridCol w:w="775"/>
        <w:gridCol w:w="2804"/>
        <w:gridCol w:w="4916"/>
        <w:gridCol w:w="1691"/>
        <w:gridCol w:w="1364"/>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612" w:hRule="atLeast"/>
          <w:jc w:val="center"/>
        </w:trPr>
        <w:tc>
          <w:tcPr>
            <w:tcW w:w="2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项目类别</w:t>
            </w:r>
          </w:p>
        </w:tc>
        <w:tc>
          <w:tcPr>
            <w:tcW w:w="2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序号</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项目名称</w:t>
            </w:r>
          </w:p>
        </w:tc>
        <w:tc>
          <w:tcPr>
            <w:tcW w:w="17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内  容</w:t>
            </w:r>
          </w:p>
        </w:tc>
        <w:tc>
          <w:tcPr>
            <w:tcW w:w="61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承办单位</w:t>
            </w:r>
          </w:p>
        </w:tc>
        <w:tc>
          <w:tcPr>
            <w:tcW w:w="49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发票金额</w:t>
            </w:r>
          </w:p>
          <w:p>
            <w:pPr>
              <w:widowControl/>
              <w:jc w:val="center"/>
              <w:rPr>
                <w:rFonts w:ascii="仿宋" w:hAnsi="仿宋" w:eastAsia="仿宋"/>
                <w:b/>
                <w:kern w:val="0"/>
                <w:sz w:val="24"/>
                <w:szCs w:val="24"/>
              </w:rPr>
            </w:pPr>
            <w:r>
              <w:rPr>
                <w:rFonts w:hint="eastAsia" w:ascii="仿宋" w:hAnsi="仿宋" w:eastAsia="仿宋"/>
                <w:b/>
                <w:kern w:val="0"/>
                <w:sz w:val="24"/>
                <w:szCs w:val="24"/>
              </w:rPr>
              <w:t>（万元）</w:t>
            </w:r>
          </w:p>
        </w:tc>
        <w:tc>
          <w:tcPr>
            <w:tcW w:w="52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b/>
                <w:kern w:val="0"/>
                <w:sz w:val="24"/>
                <w:szCs w:val="24"/>
              </w:rPr>
            </w:pPr>
            <w:r>
              <w:rPr>
                <w:rFonts w:hint="eastAsia" w:ascii="仿宋" w:hAnsi="仿宋" w:eastAsia="仿宋"/>
                <w:b/>
                <w:kern w:val="0"/>
                <w:sz w:val="24"/>
                <w:szCs w:val="24"/>
              </w:rPr>
              <w:t>资助额度</w:t>
            </w:r>
          </w:p>
          <w:p>
            <w:pPr>
              <w:widowControl/>
              <w:jc w:val="center"/>
              <w:rPr>
                <w:rFonts w:ascii="仿宋" w:hAnsi="仿宋" w:eastAsia="仿宋"/>
                <w:b/>
                <w:kern w:val="0"/>
                <w:sz w:val="24"/>
                <w:szCs w:val="24"/>
              </w:rPr>
            </w:pPr>
            <w:r>
              <w:rPr>
                <w:rFonts w:hint="eastAsia" w:ascii="仿宋" w:hAnsi="仿宋" w:eastAsia="仿宋"/>
                <w:b/>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540"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kern w:val="0"/>
                <w:sz w:val="24"/>
                <w:szCs w:val="24"/>
              </w:rPr>
            </w:pPr>
            <w:r>
              <w:rPr>
                <w:rFonts w:hint="eastAsia" w:ascii="仿宋" w:hAnsi="仿宋" w:eastAsia="仿宋"/>
                <w:kern w:val="0"/>
                <w:sz w:val="24"/>
                <w:szCs w:val="24"/>
              </w:rPr>
              <w:t>一、关于兑现支持国石、影视动漫等文化创意产业发展（产业政策第38条）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1760" w:hRule="atLeast"/>
          <w:jc w:val="center"/>
        </w:trPr>
        <w:tc>
          <w:tcPr>
            <w:tcW w:w="276" w:type="pct"/>
            <w:vMerge w:val="restart"/>
            <w:noWrap w:val="0"/>
            <w:vAlign w:val="center"/>
          </w:tcPr>
          <w:p>
            <w:pPr>
              <w:widowControl/>
              <w:jc w:val="center"/>
              <w:rPr>
                <w:rFonts w:ascii="仿宋" w:hAnsi="仿宋" w:eastAsia="仿宋"/>
                <w:kern w:val="0"/>
                <w:sz w:val="24"/>
                <w:szCs w:val="24"/>
              </w:rPr>
            </w:pPr>
            <w:r>
              <w:rPr>
                <w:rFonts w:hint="eastAsia" w:ascii="仿宋" w:hAnsi="仿宋" w:eastAsia="仿宋"/>
                <w:sz w:val="24"/>
                <w:szCs w:val="24"/>
              </w:rPr>
              <w:t>Ⅰ类</w:t>
            </w:r>
          </w:p>
        </w:tc>
        <w:tc>
          <w:tcPr>
            <w:tcW w:w="282" w:type="pct"/>
            <w:noWrap w:val="0"/>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020"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lang w:eastAsia="zh-CN"/>
              </w:rPr>
              <w:t>国石文化周日集市</w:t>
            </w:r>
          </w:p>
        </w:tc>
        <w:tc>
          <w:tcPr>
            <w:tcW w:w="1788"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eastAsia="zh-CN"/>
              </w:rPr>
              <w:t>为进一步弘扬昌化石文化，营造深厚的文化氛围，由区昌化石文化交流中心组织的“国石文化周日集市”于</w:t>
            </w:r>
            <w:r>
              <w:rPr>
                <w:rFonts w:hint="eastAsia" w:ascii="仿宋" w:hAnsi="仿宋" w:eastAsia="仿宋"/>
                <w:kern w:val="0"/>
                <w:sz w:val="24"/>
                <w:szCs w:val="24"/>
                <w:lang w:val="en-US" w:eastAsia="zh-CN"/>
              </w:rPr>
              <w:t>4月18日在吴越文化公园正式开市，搭建了一个弘扬国石文化、推广国石文化产业发展品牌的公共平台。</w:t>
            </w:r>
          </w:p>
        </w:tc>
        <w:tc>
          <w:tcPr>
            <w:tcW w:w="615"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lang w:eastAsia="zh-CN"/>
              </w:rPr>
              <w:t>杭州市临安区昌化石文化交流中心</w:t>
            </w:r>
          </w:p>
        </w:tc>
        <w:tc>
          <w:tcPr>
            <w:tcW w:w="495"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17.01</w:t>
            </w:r>
          </w:p>
        </w:tc>
        <w:tc>
          <w:tcPr>
            <w:tcW w:w="522" w:type="pct"/>
            <w:noWrap w:val="0"/>
            <w:vAlign w:val="center"/>
          </w:tcPr>
          <w:p>
            <w:pPr>
              <w:jc w:val="center"/>
              <w:rPr>
                <w:rFonts w:ascii="仿宋" w:hAnsi="仿宋" w:eastAsia="仿宋"/>
                <w:kern w:val="0"/>
                <w:sz w:val="24"/>
                <w:szCs w:val="24"/>
              </w:rPr>
            </w:pPr>
            <w:r>
              <w:rPr>
                <w:rFonts w:hint="eastAsia" w:ascii="仿宋" w:hAnsi="仿宋" w:eastAsia="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1643" w:hRule="atLeast"/>
          <w:jc w:val="center"/>
        </w:trPr>
        <w:tc>
          <w:tcPr>
            <w:tcW w:w="276" w:type="pct"/>
            <w:vMerge w:val="continue"/>
            <w:noWrap w:val="0"/>
            <w:vAlign w:val="center"/>
          </w:tcPr>
          <w:p>
            <w:pPr>
              <w:widowControl/>
              <w:jc w:val="center"/>
              <w:rPr>
                <w:rFonts w:ascii="仿宋" w:hAnsi="仿宋" w:eastAsia="仿宋"/>
                <w:kern w:val="0"/>
                <w:sz w:val="24"/>
                <w:szCs w:val="24"/>
              </w:rPr>
            </w:pPr>
          </w:p>
        </w:tc>
        <w:tc>
          <w:tcPr>
            <w:tcW w:w="282" w:type="pct"/>
            <w:noWrap w:val="0"/>
            <w:vAlign w:val="center"/>
          </w:tcPr>
          <w:p>
            <w:pPr>
              <w:widowControl/>
              <w:jc w:val="center"/>
              <w:rPr>
                <w:rFonts w:ascii="仿宋" w:hAnsi="仿宋" w:eastAsia="仿宋"/>
                <w:kern w:val="0"/>
                <w:sz w:val="24"/>
                <w:szCs w:val="24"/>
              </w:rPr>
            </w:pPr>
            <w:r>
              <w:rPr>
                <w:rFonts w:hint="eastAsia" w:ascii="仿宋" w:hAnsi="仿宋" w:eastAsia="仿宋"/>
                <w:kern w:val="0"/>
                <w:sz w:val="24"/>
                <w:szCs w:val="24"/>
              </w:rPr>
              <w:t>2</w:t>
            </w:r>
          </w:p>
        </w:tc>
        <w:tc>
          <w:tcPr>
            <w:tcW w:w="1020"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eastAsia="zh-CN"/>
              </w:rPr>
              <w:t>临宝</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LINBAO系列文创产品开发（表情包设计制作）</w:t>
            </w:r>
          </w:p>
        </w:tc>
        <w:tc>
          <w:tcPr>
            <w:tcW w:w="1788"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lang w:eastAsia="zh-CN"/>
              </w:rPr>
              <w:t>以临宝为原型创作的精神文明建设系列表情包，紧扣时代脉搏，传播文明，引领风尚，满足和丰富临安人民的文化和精神需求，向社会传递满满的正能量。</w:t>
            </w:r>
          </w:p>
        </w:tc>
        <w:tc>
          <w:tcPr>
            <w:tcW w:w="615"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lang w:eastAsia="zh-CN"/>
              </w:rPr>
              <w:t>杭州微承传媒有限公司</w:t>
            </w:r>
          </w:p>
        </w:tc>
        <w:tc>
          <w:tcPr>
            <w:tcW w:w="495"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20.4</w:t>
            </w:r>
          </w:p>
        </w:tc>
        <w:tc>
          <w:tcPr>
            <w:tcW w:w="522" w:type="pct"/>
            <w:noWrap w:val="0"/>
            <w:vAlign w:val="center"/>
          </w:tcPr>
          <w:p>
            <w:pPr>
              <w:jc w:val="center"/>
              <w:rPr>
                <w:rFonts w:ascii="仿宋" w:hAnsi="仿宋" w:eastAsia="仿宋"/>
                <w:kern w:val="0"/>
                <w:sz w:val="24"/>
                <w:szCs w:val="24"/>
              </w:rPr>
            </w:pPr>
            <w:r>
              <w:rPr>
                <w:rFonts w:hint="eastAsia" w:ascii="仿宋" w:hAnsi="仿宋" w:eastAsia="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1643" w:hRule="atLeast"/>
          <w:jc w:val="center"/>
        </w:trPr>
        <w:tc>
          <w:tcPr>
            <w:tcW w:w="276" w:type="pct"/>
            <w:vMerge w:val="continue"/>
            <w:noWrap w:val="0"/>
            <w:vAlign w:val="center"/>
          </w:tcPr>
          <w:p>
            <w:pPr>
              <w:widowControl/>
              <w:jc w:val="center"/>
              <w:rPr>
                <w:rFonts w:ascii="仿宋" w:hAnsi="仿宋" w:eastAsia="仿宋"/>
                <w:kern w:val="0"/>
                <w:sz w:val="24"/>
                <w:szCs w:val="24"/>
              </w:rPr>
            </w:pPr>
          </w:p>
        </w:tc>
        <w:tc>
          <w:tcPr>
            <w:tcW w:w="282" w:type="pct"/>
            <w:noWrap w:val="0"/>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3</w:t>
            </w:r>
          </w:p>
        </w:tc>
        <w:tc>
          <w:tcPr>
            <w:tcW w:w="1020"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rPr>
              <w:t>“</w:t>
            </w:r>
            <w:r>
              <w:rPr>
                <w:rFonts w:hint="eastAsia" w:ascii="仿宋" w:hAnsi="仿宋" w:eastAsia="仿宋"/>
                <w:kern w:val="0"/>
                <w:sz w:val="24"/>
                <w:szCs w:val="24"/>
                <w:lang w:val="en-US" w:eastAsia="zh-CN"/>
              </w:rPr>
              <w:t>习近平送给奋斗者的励志名言</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西泠印社篆刻名家邀请展暨临安印社优秀作品展</w:t>
            </w:r>
          </w:p>
        </w:tc>
        <w:tc>
          <w:tcPr>
            <w:tcW w:w="1788"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在西泠印社第十届篆刻艺术评展期间，为营造深厚的篆刻艺术氛围和打造昌化石文化影响力，</w:t>
            </w:r>
            <w:r>
              <w:rPr>
                <w:rFonts w:hint="eastAsia" w:ascii="仿宋" w:hAnsi="仿宋" w:eastAsia="仿宋"/>
                <w:kern w:val="0"/>
                <w:sz w:val="24"/>
                <w:szCs w:val="24"/>
              </w:rPr>
              <w:t>“</w:t>
            </w:r>
            <w:r>
              <w:rPr>
                <w:rFonts w:hint="eastAsia" w:ascii="仿宋" w:hAnsi="仿宋" w:eastAsia="仿宋"/>
                <w:kern w:val="0"/>
                <w:sz w:val="24"/>
                <w:szCs w:val="24"/>
                <w:lang w:val="en-US" w:eastAsia="zh-CN"/>
              </w:rPr>
              <w:t>习近平送给奋斗者的励志名言</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西泠印社篆刻名家邀请展暨临安印社优秀作品展于2021年10月14日—22日在区艺术展示中心举办。</w:t>
            </w:r>
          </w:p>
        </w:tc>
        <w:tc>
          <w:tcPr>
            <w:tcW w:w="615" w:type="pct"/>
            <w:noWrap w:val="0"/>
            <w:vAlign w:val="center"/>
          </w:tcPr>
          <w:p>
            <w:pPr>
              <w:rPr>
                <w:rFonts w:hint="eastAsia" w:ascii="仿宋" w:hAnsi="仿宋" w:eastAsia="仿宋"/>
                <w:kern w:val="0"/>
                <w:sz w:val="24"/>
                <w:szCs w:val="24"/>
                <w:lang w:eastAsia="zh-CN"/>
              </w:rPr>
            </w:pPr>
            <w:r>
              <w:rPr>
                <w:rFonts w:hint="eastAsia" w:ascii="仿宋" w:hAnsi="仿宋" w:eastAsia="仿宋"/>
                <w:kern w:val="0"/>
                <w:sz w:val="24"/>
                <w:szCs w:val="24"/>
              </w:rPr>
              <w:t>杭州市临安</w:t>
            </w:r>
            <w:r>
              <w:rPr>
                <w:rFonts w:hint="eastAsia" w:ascii="仿宋" w:hAnsi="仿宋" w:eastAsia="仿宋"/>
                <w:kern w:val="0"/>
                <w:sz w:val="24"/>
                <w:szCs w:val="24"/>
                <w:lang w:val="en-US" w:eastAsia="zh-CN"/>
              </w:rPr>
              <w:t>区</w:t>
            </w:r>
            <w:r>
              <w:rPr>
                <w:rFonts w:hint="eastAsia" w:ascii="仿宋" w:hAnsi="仿宋" w:eastAsia="仿宋"/>
                <w:kern w:val="0"/>
                <w:sz w:val="24"/>
                <w:szCs w:val="24"/>
              </w:rPr>
              <w:t>印社篆刻中心</w:t>
            </w:r>
          </w:p>
        </w:tc>
        <w:tc>
          <w:tcPr>
            <w:tcW w:w="495"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20.9</w:t>
            </w:r>
          </w:p>
        </w:tc>
        <w:tc>
          <w:tcPr>
            <w:tcW w:w="522"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2150" w:hRule="atLeast"/>
          <w:jc w:val="center"/>
        </w:trPr>
        <w:tc>
          <w:tcPr>
            <w:tcW w:w="276" w:type="pct"/>
            <w:vMerge w:val="restart"/>
            <w:noWrap w:val="0"/>
            <w:vAlign w:val="center"/>
          </w:tcPr>
          <w:p>
            <w:pPr>
              <w:widowControl/>
              <w:jc w:val="center"/>
              <w:rPr>
                <w:rFonts w:hint="eastAsia" w:ascii="仿宋" w:hAnsi="仿宋" w:eastAsia="仿宋"/>
                <w:sz w:val="24"/>
                <w:szCs w:val="24"/>
              </w:rPr>
            </w:pPr>
            <w:r>
              <w:rPr>
                <w:rFonts w:hint="eastAsia" w:ascii="仿宋" w:hAnsi="仿宋" w:eastAsia="仿宋"/>
                <w:sz w:val="24"/>
                <w:szCs w:val="24"/>
              </w:rPr>
              <w:t>Ⅱ类</w:t>
            </w:r>
          </w:p>
          <w:p>
            <w:pPr>
              <w:widowControl/>
              <w:jc w:val="center"/>
              <w:rPr>
                <w:rFonts w:ascii="仿宋" w:hAnsi="仿宋" w:eastAsia="仿宋"/>
                <w:kern w:val="0"/>
                <w:sz w:val="24"/>
                <w:szCs w:val="24"/>
              </w:rPr>
            </w:pPr>
          </w:p>
        </w:tc>
        <w:tc>
          <w:tcPr>
            <w:tcW w:w="282" w:type="pct"/>
            <w:noWrap w:val="0"/>
            <w:vAlign w:val="center"/>
          </w:tcPr>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4</w:t>
            </w:r>
          </w:p>
        </w:tc>
        <w:tc>
          <w:tcPr>
            <w:tcW w:w="1020"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第八届中国国际版权博览会</w:t>
            </w:r>
          </w:p>
        </w:tc>
        <w:tc>
          <w:tcPr>
            <w:tcW w:w="1788"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由国家版权局主办，浙江省版权局和杭州市人民政府承办的第八届中国国际版权博览会于2021年10月16日—18日在杭州白马湖国际会展中心举办，我区“天目窑烧制技艺”应邀 参展，“天目一品”系列作品受到各界好评。</w:t>
            </w:r>
          </w:p>
        </w:tc>
        <w:tc>
          <w:tcPr>
            <w:tcW w:w="615"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浙江天物文化科技有限公司</w:t>
            </w:r>
          </w:p>
        </w:tc>
        <w:tc>
          <w:tcPr>
            <w:tcW w:w="495"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12</w:t>
            </w:r>
          </w:p>
        </w:tc>
        <w:tc>
          <w:tcPr>
            <w:tcW w:w="522" w:type="pct"/>
            <w:noWrap w:val="0"/>
            <w:vAlign w:val="center"/>
          </w:tcPr>
          <w:p>
            <w:pPr>
              <w:jc w:val="center"/>
              <w:rPr>
                <w:rFonts w:ascii="仿宋" w:hAnsi="仿宋" w:eastAsia="仿宋"/>
                <w:kern w:val="0"/>
                <w:sz w:val="24"/>
                <w:szCs w:val="24"/>
              </w:rPr>
            </w:pPr>
            <w:r>
              <w:rPr>
                <w:rFonts w:hint="eastAsia" w:ascii="仿宋" w:hAnsi="仿宋" w:eastAsia="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1631" w:hRule="atLeast"/>
          <w:jc w:val="center"/>
        </w:trPr>
        <w:tc>
          <w:tcPr>
            <w:tcW w:w="276" w:type="pct"/>
            <w:vMerge w:val="continue"/>
            <w:noWrap w:val="0"/>
            <w:vAlign w:val="center"/>
          </w:tcPr>
          <w:p>
            <w:pPr>
              <w:widowControl/>
              <w:jc w:val="center"/>
              <w:rPr>
                <w:rFonts w:ascii="仿宋" w:hAnsi="仿宋" w:eastAsia="仿宋"/>
                <w:kern w:val="0"/>
                <w:sz w:val="24"/>
                <w:szCs w:val="24"/>
              </w:rPr>
            </w:pPr>
          </w:p>
        </w:tc>
        <w:tc>
          <w:tcPr>
            <w:tcW w:w="282" w:type="pct"/>
            <w:noWrap w:val="0"/>
            <w:vAlign w:val="center"/>
          </w:tcPr>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5</w:t>
            </w:r>
          </w:p>
        </w:tc>
        <w:tc>
          <w:tcPr>
            <w:tcW w:w="1020" w:type="pct"/>
            <w:noWrap w:val="0"/>
            <w:vAlign w:val="center"/>
          </w:tcPr>
          <w:p>
            <w:pPr>
              <w:rPr>
                <w:rFonts w:hint="default" w:ascii="仿宋" w:hAnsi="仿宋" w:eastAsia="仿宋" w:cs="仿宋"/>
                <w:kern w:val="0"/>
                <w:sz w:val="24"/>
                <w:szCs w:val="24"/>
                <w:lang w:val="en-US" w:eastAsia="zh-CN"/>
              </w:rPr>
            </w:pPr>
            <w:r>
              <w:rPr>
                <w:rFonts w:hint="eastAsia" w:ascii="仿宋" w:hAnsi="仿宋" w:eastAsia="仿宋"/>
                <w:kern w:val="0"/>
                <w:sz w:val="24"/>
                <w:szCs w:val="24"/>
              </w:rPr>
              <w:t>“</w:t>
            </w:r>
            <w:r>
              <w:rPr>
                <w:rFonts w:hint="eastAsia" w:ascii="仿宋" w:hAnsi="仿宋" w:eastAsia="仿宋"/>
                <w:kern w:val="0"/>
                <w:sz w:val="24"/>
                <w:szCs w:val="24"/>
                <w:lang w:val="en-US" w:eastAsia="zh-CN"/>
              </w:rPr>
              <w:t>百印献礼百年</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主题展</w:t>
            </w:r>
          </w:p>
        </w:tc>
        <w:tc>
          <w:tcPr>
            <w:tcW w:w="1788"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为庆祝建党百年，用传统的手工篆刻和智能篆刻，精选昌化鸡血石代表中国红，以红色精神为内容篆刻百方印章，2021年7月1日开始举办</w:t>
            </w:r>
            <w:r>
              <w:rPr>
                <w:rFonts w:hint="eastAsia" w:ascii="仿宋" w:hAnsi="仿宋" w:eastAsia="仿宋"/>
                <w:kern w:val="0"/>
                <w:sz w:val="24"/>
                <w:szCs w:val="24"/>
              </w:rPr>
              <w:t>“</w:t>
            </w:r>
            <w:r>
              <w:rPr>
                <w:rFonts w:hint="eastAsia" w:ascii="仿宋" w:hAnsi="仿宋" w:eastAsia="仿宋"/>
                <w:kern w:val="0"/>
                <w:sz w:val="24"/>
                <w:szCs w:val="24"/>
                <w:lang w:val="en-US" w:eastAsia="zh-CN"/>
              </w:rPr>
              <w:t>百印献礼百年</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主题巡回展，用印信文化庆祝党的百年光辉历程，颂扬党在百年奋进历程中形成的伟大精神。</w:t>
            </w:r>
          </w:p>
        </w:tc>
        <w:tc>
          <w:tcPr>
            <w:tcW w:w="615"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浙江每石文化创意有限公司</w:t>
            </w:r>
          </w:p>
        </w:tc>
        <w:tc>
          <w:tcPr>
            <w:tcW w:w="495"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20.99</w:t>
            </w:r>
          </w:p>
        </w:tc>
        <w:tc>
          <w:tcPr>
            <w:tcW w:w="522" w:type="pct"/>
            <w:noWrap w:val="0"/>
            <w:vAlign w:val="center"/>
          </w:tcPr>
          <w:p>
            <w:pPr>
              <w:jc w:val="center"/>
              <w:rPr>
                <w:rFonts w:ascii="仿宋" w:hAnsi="仿宋" w:eastAsia="仿宋"/>
                <w:kern w:val="0"/>
                <w:sz w:val="24"/>
                <w:szCs w:val="24"/>
              </w:rPr>
            </w:pPr>
            <w:r>
              <w:rPr>
                <w:rFonts w:hint="eastAsia" w:ascii="仿宋" w:hAnsi="仿宋" w:eastAsia="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1281" w:hRule="atLeast"/>
          <w:jc w:val="center"/>
        </w:trPr>
        <w:tc>
          <w:tcPr>
            <w:tcW w:w="276" w:type="pct"/>
            <w:vMerge w:val="continue"/>
            <w:noWrap w:val="0"/>
            <w:vAlign w:val="center"/>
          </w:tcPr>
          <w:p>
            <w:pPr>
              <w:widowControl/>
              <w:jc w:val="center"/>
              <w:rPr>
                <w:rFonts w:ascii="仿宋" w:hAnsi="仿宋" w:eastAsia="仿宋"/>
                <w:kern w:val="0"/>
                <w:sz w:val="24"/>
                <w:szCs w:val="24"/>
              </w:rPr>
            </w:pPr>
          </w:p>
        </w:tc>
        <w:tc>
          <w:tcPr>
            <w:tcW w:w="282" w:type="pct"/>
            <w:noWrap w:val="0"/>
            <w:vAlign w:val="center"/>
          </w:tcPr>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6</w:t>
            </w:r>
          </w:p>
        </w:tc>
        <w:tc>
          <w:tcPr>
            <w:tcW w:w="1020"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苔花临安区首届残疾人文创艺术作品展</w:t>
            </w:r>
          </w:p>
        </w:tc>
        <w:tc>
          <w:tcPr>
            <w:tcW w:w="1788" w:type="pct"/>
            <w:noWrap w:val="0"/>
            <w:vAlign w:val="center"/>
          </w:tcPr>
          <w:p>
            <w:pPr>
              <w:rPr>
                <w:rFonts w:hint="default" w:ascii="仿宋" w:hAnsi="仿宋" w:eastAsia="仿宋"/>
                <w:kern w:val="0"/>
                <w:sz w:val="24"/>
                <w:szCs w:val="24"/>
                <w:lang w:val="en-US" w:eastAsia="zh-CN"/>
              </w:rPr>
            </w:pPr>
            <w:r>
              <w:rPr>
                <w:rFonts w:hint="eastAsia" w:ascii="仿宋" w:hAnsi="仿宋" w:eastAsia="仿宋"/>
                <w:kern w:val="0"/>
                <w:sz w:val="24"/>
                <w:szCs w:val="24"/>
              </w:rPr>
              <w:t>由</w:t>
            </w:r>
            <w:r>
              <w:rPr>
                <w:rFonts w:hint="eastAsia" w:ascii="仿宋" w:hAnsi="仿宋" w:eastAsia="仿宋"/>
                <w:kern w:val="0"/>
                <w:sz w:val="24"/>
                <w:szCs w:val="24"/>
                <w:lang w:val="en-US" w:eastAsia="zh-CN"/>
              </w:rPr>
              <w:t>杭州市临安区残疾人联合会主办，杭州临安哲慧艺术培训有限公司承办的“苔花”—临安区首届残疾人文创艺术作品展于2021年5月15日—22日在区图书馆一楼举办，展出了临安残疾人的书画作品和文创产品，展示了残疾人文创艺术成就和风采。</w:t>
            </w:r>
          </w:p>
        </w:tc>
        <w:tc>
          <w:tcPr>
            <w:tcW w:w="615" w:type="pct"/>
            <w:noWrap w:val="0"/>
            <w:vAlign w:val="center"/>
          </w:tcPr>
          <w:p>
            <w:pPr>
              <w:rPr>
                <w:rFonts w:ascii="仿宋" w:hAnsi="仿宋" w:eastAsia="仿宋"/>
                <w:kern w:val="0"/>
                <w:sz w:val="24"/>
                <w:szCs w:val="24"/>
              </w:rPr>
            </w:pPr>
            <w:r>
              <w:rPr>
                <w:rFonts w:hint="eastAsia" w:ascii="仿宋" w:hAnsi="仿宋" w:eastAsia="仿宋"/>
                <w:kern w:val="0"/>
                <w:sz w:val="24"/>
                <w:szCs w:val="24"/>
                <w:lang w:val="en-US" w:eastAsia="zh-CN"/>
              </w:rPr>
              <w:t>杭州临安哲慧艺术培训有限公司</w:t>
            </w:r>
          </w:p>
        </w:tc>
        <w:tc>
          <w:tcPr>
            <w:tcW w:w="495"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12</w:t>
            </w:r>
          </w:p>
        </w:tc>
        <w:tc>
          <w:tcPr>
            <w:tcW w:w="522" w:type="pct"/>
            <w:noWrap w:val="0"/>
            <w:vAlign w:val="center"/>
          </w:tcPr>
          <w:p>
            <w:pPr>
              <w:jc w:val="center"/>
              <w:rPr>
                <w:rFonts w:ascii="仿宋" w:hAnsi="仿宋" w:eastAsia="仿宋"/>
                <w:kern w:val="0"/>
                <w:sz w:val="24"/>
                <w:szCs w:val="24"/>
              </w:rPr>
            </w:pPr>
            <w:r>
              <w:rPr>
                <w:rFonts w:hint="eastAsia" w:ascii="仿宋" w:hAnsi="仿宋" w:eastAsia="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637" w:hRule="atLeast"/>
          <w:jc w:val="center"/>
        </w:trPr>
        <w:tc>
          <w:tcPr>
            <w:tcW w:w="4477" w:type="pct"/>
            <w:gridSpan w:val="6"/>
            <w:noWrap w:val="0"/>
            <w:vAlign w:val="center"/>
          </w:tcPr>
          <w:p>
            <w:pPr>
              <w:jc w:val="center"/>
              <w:rPr>
                <w:rFonts w:ascii="仿宋" w:hAnsi="仿宋" w:eastAsia="仿宋"/>
                <w:kern w:val="0"/>
                <w:sz w:val="24"/>
                <w:szCs w:val="24"/>
              </w:rPr>
            </w:pPr>
            <w:r>
              <w:rPr>
                <w:rFonts w:hint="eastAsia" w:ascii="仿宋" w:hAnsi="仿宋" w:eastAsia="仿宋"/>
                <w:kern w:val="0"/>
                <w:sz w:val="24"/>
                <w:szCs w:val="24"/>
              </w:rPr>
              <w:t>合      计</w:t>
            </w:r>
          </w:p>
        </w:tc>
        <w:tc>
          <w:tcPr>
            <w:tcW w:w="522" w:type="pct"/>
            <w:noWrap w:val="0"/>
            <w:vAlign w:val="center"/>
          </w:tcPr>
          <w:p>
            <w:pPr>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0" w:type="dxa"/>
            <w:bottom w:w="0" w:type="dxa"/>
            <w:right w:w="60" w:type="dxa"/>
          </w:tblCellMar>
        </w:tblPrEx>
        <w:trPr>
          <w:trHeight w:val="637" w:hRule="atLeast"/>
          <w:jc w:val="center"/>
        </w:trPr>
        <w:tc>
          <w:tcPr>
            <w:tcW w:w="5000" w:type="pct"/>
            <w:gridSpan w:val="7"/>
            <w:noWrap w:val="0"/>
            <w:vAlign w:val="center"/>
          </w:tcPr>
          <w:p>
            <w:pPr>
              <w:ind w:left="720" w:hanging="720" w:hangingChars="300"/>
              <w:jc w:val="left"/>
              <w:rPr>
                <w:rFonts w:ascii="仿宋" w:hAnsi="仿宋" w:eastAsia="仿宋"/>
                <w:kern w:val="0"/>
                <w:sz w:val="24"/>
                <w:szCs w:val="24"/>
              </w:rPr>
            </w:pPr>
            <w:r>
              <w:rPr>
                <w:rFonts w:hint="eastAsia" w:ascii="仿宋" w:hAnsi="仿宋" w:eastAsia="仿宋"/>
                <w:sz w:val="24"/>
                <w:szCs w:val="24"/>
              </w:rPr>
              <w:t>说明：Ⅰ类为年度重点扶持的文创项目或活动；Ⅱ类参加</w:t>
            </w:r>
            <w:r>
              <w:rPr>
                <w:rFonts w:hint="eastAsia" w:ascii="仿宋" w:hAnsi="仿宋" w:eastAsia="仿宋"/>
                <w:sz w:val="24"/>
                <w:szCs w:val="24"/>
                <w:lang w:eastAsia="zh-CN"/>
              </w:rPr>
              <w:t>国家、省市（</w:t>
            </w:r>
            <w:r>
              <w:rPr>
                <w:rFonts w:hint="eastAsia" w:ascii="仿宋" w:hAnsi="仿宋" w:eastAsia="仿宋"/>
                <w:sz w:val="24"/>
                <w:szCs w:val="24"/>
                <w:lang w:val="en-US" w:eastAsia="zh-CN"/>
              </w:rPr>
              <w:t>区）级以上</w:t>
            </w:r>
            <w:r>
              <w:rPr>
                <w:rFonts w:hint="eastAsia" w:ascii="仿宋" w:hAnsi="仿宋" w:eastAsia="仿宋"/>
                <w:sz w:val="24"/>
                <w:szCs w:val="24"/>
              </w:rPr>
              <w:t>组织的文创活动，并到得相关奖项或有良好影响力的文创产业项目或活动；Ⅲ类为需要扶持的一般文创项目或活动；Ⅳ类为有发展潜力的小微文创项目或者活动。</w:t>
            </w:r>
          </w:p>
        </w:tc>
      </w:tr>
    </w:tbl>
    <w:p/>
    <w:p>
      <w:pPr>
        <w:rPr>
          <w:rFonts w:hint="eastAsia" w:ascii="仿宋" w:hAnsi="仿宋" w:eastAsia="仿宋"/>
        </w:rPr>
      </w:pPr>
    </w:p>
    <w:p>
      <w:bookmarkStart w:id="0" w:name="_GoBack"/>
      <w:bookmarkEnd w:id="0"/>
    </w:p>
    <w:sectPr>
      <w:pgSz w:w="16838" w:h="11906" w:orient="landscape"/>
      <w:pgMar w:top="1588" w:right="1418" w:bottom="158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10842"/>
    <w:rsid w:val="35C10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2021-11-29T07:01:00Z</dcterms:created>
  <dc:creator>若曦</dc:creator>
  <cp:lastModifiedBy>若曦</cp:lastModifiedBy>
  <dcterms:modified xsi:type="dcterms:W3CDTF">2021-11-29T07:02:15Z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F060CC2BA67C4D4BA9024C17D074BB78</vt:lpwstr>
  </property>
</Properties>
</file>