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ind w:firstLine="480"/>
        <w:jc w:val="center"/>
        <w:rPr>
          <w:rFonts w:ascii="Times New Roman" w:hAnsi="Times New Roman" w:eastAsia="仿宋_GB2312"/>
        </w:rPr>
      </w:pPr>
    </w:p>
    <w:p>
      <w:pPr>
        <w:pStyle w:val="11"/>
        <w:ind w:firstLine="480"/>
        <w:jc w:val="center"/>
        <w:rPr>
          <w:rFonts w:ascii="Times New Roman" w:hAnsi="Times New Roman" w:eastAsia="仿宋_GB2312"/>
        </w:rPr>
      </w:pPr>
    </w:p>
    <w:p>
      <w:pPr>
        <w:pStyle w:val="11"/>
        <w:ind w:firstLine="480"/>
        <w:jc w:val="center"/>
        <w:rPr>
          <w:rFonts w:ascii="Times New Roman" w:hAnsi="Times New Roman" w:eastAsia="仿宋_GB2312"/>
        </w:rPr>
      </w:pPr>
    </w:p>
    <w:p>
      <w:pPr>
        <w:pStyle w:val="11"/>
        <w:spacing w:after="0" w:line="600" w:lineRule="auto"/>
        <w:ind w:firstLine="0" w:firstLineChars="0"/>
        <w:jc w:val="center"/>
        <w:rPr>
          <w:rFonts w:ascii="Times New Roman" w:hAnsi="Times New Roman" w:eastAsia="仿宋_GB2312"/>
          <w:b/>
          <w:sz w:val="48"/>
          <w:szCs w:val="44"/>
        </w:rPr>
      </w:pPr>
      <w:bookmarkStart w:id="0" w:name="_Hlk58781069"/>
      <w:r>
        <w:rPr>
          <w:rFonts w:ascii="Times New Roman" w:hAnsi="Times New Roman" w:eastAsia="仿宋_GB2312"/>
          <w:b/>
          <w:spacing w:val="-11"/>
          <w:sz w:val="48"/>
          <w:szCs w:val="44"/>
        </w:rPr>
        <w:t>临安区“千吨万人”</w:t>
      </w:r>
      <w:r>
        <w:rPr>
          <w:rFonts w:hint="eastAsia" w:ascii="Times New Roman" w:hAnsi="Times New Roman" w:eastAsia="仿宋_GB2312"/>
          <w:b/>
          <w:spacing w:val="-11"/>
          <w:sz w:val="48"/>
          <w:szCs w:val="44"/>
        </w:rPr>
        <w:t>饮用水水源</w:t>
      </w:r>
      <w:r>
        <w:rPr>
          <w:rFonts w:ascii="Times New Roman" w:hAnsi="Times New Roman" w:eastAsia="仿宋_GB2312"/>
          <w:b/>
          <w:spacing w:val="-11"/>
          <w:sz w:val="48"/>
          <w:szCs w:val="44"/>
        </w:rPr>
        <w:t>保护区</w:t>
      </w:r>
      <w:r>
        <w:rPr>
          <w:rFonts w:hint="eastAsia" w:ascii="Times New Roman" w:hAnsi="Times New Roman" w:eastAsia="仿宋_GB2312"/>
          <w:b/>
          <w:spacing w:val="-11"/>
          <w:sz w:val="48"/>
          <w:szCs w:val="44"/>
        </w:rPr>
        <w:t>划分</w:t>
      </w:r>
      <w:r>
        <w:rPr>
          <w:rFonts w:ascii="Times New Roman" w:hAnsi="Times New Roman" w:eastAsia="仿宋_GB2312"/>
          <w:b/>
          <w:spacing w:val="-11"/>
          <w:sz w:val="48"/>
          <w:szCs w:val="44"/>
        </w:rPr>
        <w:t>方案</w:t>
      </w:r>
    </w:p>
    <w:p>
      <w:pPr>
        <w:pStyle w:val="11"/>
        <w:spacing w:after="0" w:line="700" w:lineRule="exact"/>
        <w:ind w:firstLine="0" w:firstLineChars="0"/>
        <w:jc w:val="center"/>
        <w:rPr>
          <w:rFonts w:ascii="Times New Roman" w:hAnsi="Times New Roman" w:eastAsia="仿宋_GB2312"/>
          <w:b/>
          <w:sz w:val="36"/>
          <w:szCs w:val="40"/>
        </w:rPr>
      </w:pPr>
      <w:r>
        <w:rPr>
          <w:rFonts w:ascii="Times New Roman" w:hAnsi="Times New Roman" w:eastAsia="仿宋_GB2312"/>
          <w:b/>
          <w:sz w:val="36"/>
          <w:szCs w:val="40"/>
        </w:rPr>
        <w:t>（</w:t>
      </w:r>
      <w:r>
        <w:rPr>
          <w:rFonts w:hint="eastAsia" w:ascii="Times New Roman" w:hAnsi="Times New Roman" w:eastAsia="仿宋_GB2312"/>
          <w:b/>
          <w:sz w:val="36"/>
          <w:szCs w:val="40"/>
        </w:rPr>
        <w:t>上报</w:t>
      </w:r>
      <w:r>
        <w:rPr>
          <w:rFonts w:ascii="Times New Roman" w:hAnsi="Times New Roman" w:eastAsia="仿宋_GB2312"/>
          <w:b/>
          <w:sz w:val="36"/>
          <w:szCs w:val="40"/>
        </w:rPr>
        <w:t>稿）</w:t>
      </w:r>
    </w:p>
    <w:bookmarkEnd w:id="0"/>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ascii="Times New Roman" w:hAnsi="Times New Roman" w:eastAsia="仿宋_GB2312"/>
          <w:b/>
          <w:sz w:val="44"/>
          <w:szCs w:val="48"/>
        </w:rPr>
      </w:pPr>
    </w:p>
    <w:p>
      <w:pPr>
        <w:pStyle w:val="11"/>
        <w:spacing w:after="0" w:line="700" w:lineRule="exact"/>
        <w:ind w:firstLine="0" w:firstLineChars="0"/>
        <w:jc w:val="center"/>
        <w:rPr>
          <w:rFonts w:hint="eastAsia" w:ascii="Times New Roman" w:hAnsi="Times New Roman" w:eastAsia="仿宋_GB2312"/>
          <w:b/>
          <w:sz w:val="32"/>
          <w:szCs w:val="32"/>
          <w:lang w:eastAsia="zh-CN"/>
        </w:rPr>
      </w:pPr>
      <w:r>
        <w:rPr>
          <w:rFonts w:hint="eastAsia" w:ascii="Times New Roman" w:hAnsi="Times New Roman" w:eastAsia="仿宋_GB2312"/>
          <w:b/>
          <w:sz w:val="32"/>
          <w:szCs w:val="32"/>
        </w:rPr>
        <w:t>杭州市</w:t>
      </w:r>
      <w:r>
        <w:rPr>
          <w:rFonts w:hint="eastAsia" w:ascii="Times New Roman" w:hAnsi="Times New Roman" w:eastAsia="仿宋_GB2312"/>
          <w:b/>
          <w:sz w:val="32"/>
          <w:szCs w:val="32"/>
          <w:lang w:eastAsia="zh-CN"/>
        </w:rPr>
        <w:t>临安区人</w:t>
      </w:r>
      <w:bookmarkStart w:id="169" w:name="_GoBack"/>
      <w:bookmarkEnd w:id="169"/>
      <w:r>
        <w:rPr>
          <w:rFonts w:hint="eastAsia" w:ascii="Times New Roman" w:hAnsi="Times New Roman" w:eastAsia="仿宋_GB2312"/>
          <w:b/>
          <w:sz w:val="32"/>
          <w:szCs w:val="32"/>
          <w:lang w:eastAsia="zh-CN"/>
        </w:rPr>
        <w:t>民政府</w:t>
      </w:r>
    </w:p>
    <w:p>
      <w:pPr>
        <w:pStyle w:val="11"/>
        <w:spacing w:after="0" w:line="700" w:lineRule="exact"/>
        <w:ind w:firstLine="0" w:firstLineChars="0"/>
        <w:jc w:val="center"/>
        <w:rPr>
          <w:rFonts w:ascii="Times New Roman" w:hAnsi="Times New Roman" w:eastAsia="仿宋_GB2312"/>
          <w:b/>
          <w:bCs/>
          <w:sz w:val="28"/>
          <w:szCs w:val="28"/>
        </w:rPr>
        <w:sectPr>
          <w:headerReference r:id="rId7" w:type="first"/>
          <w:footerReference r:id="rId10" w:type="first"/>
          <w:headerReference r:id="rId5" w:type="default"/>
          <w:footerReference r:id="rId8" w:type="default"/>
          <w:headerReference r:id="rId6" w:type="even"/>
          <w:footerReference r:id="rId9" w:type="even"/>
          <w:type w:val="continuous"/>
          <w:pgSz w:w="11906" w:h="16838"/>
          <w:pgMar w:top="1814" w:right="1814" w:bottom="1814" w:left="1814" w:header="1247" w:footer="1247" w:gutter="0"/>
          <w:cols w:space="720" w:num="1"/>
          <w:docGrid w:type="lines" w:linePitch="326" w:charSpace="0"/>
        </w:sectPr>
      </w:pPr>
      <w:r>
        <w:rPr>
          <w:rFonts w:ascii="Times New Roman" w:hAnsi="Times New Roman" w:eastAsia="仿宋_GB2312"/>
          <w:b/>
          <w:bCs/>
          <w:sz w:val="28"/>
          <w:szCs w:val="28"/>
        </w:rPr>
        <w:t>二Ο二一年</w:t>
      </w:r>
      <w:r>
        <w:rPr>
          <w:rFonts w:hint="eastAsia" w:ascii="Times New Roman" w:hAnsi="Times New Roman" w:eastAsia="仿宋_GB2312"/>
          <w:b/>
          <w:bCs/>
          <w:sz w:val="28"/>
          <w:szCs w:val="28"/>
          <w:lang w:eastAsia="zh-CN"/>
        </w:rPr>
        <w:t>四</w:t>
      </w:r>
      <w:r>
        <w:rPr>
          <w:rFonts w:ascii="Times New Roman" w:hAnsi="Times New Roman" w:eastAsia="仿宋_GB2312"/>
          <w:b/>
          <w:bCs/>
          <w:sz w:val="28"/>
          <w:szCs w:val="28"/>
        </w:rPr>
        <w:t>月</w:t>
      </w:r>
    </w:p>
    <w:sdt>
      <w:sdtPr>
        <w:rPr>
          <w:rFonts w:ascii="Arial" w:hAnsi="Arial" w:eastAsia="宋体" w:cs="Times New Roman"/>
          <w:color w:val="auto"/>
          <w:kern w:val="2"/>
          <w:sz w:val="24"/>
          <w:szCs w:val="24"/>
          <w:lang w:val="zh-CN"/>
        </w:rPr>
        <w:id w:val="-2016218209"/>
        <w:docPartObj>
          <w:docPartGallery w:val="Table of Contents"/>
          <w:docPartUnique/>
        </w:docPartObj>
      </w:sdtPr>
      <w:sdtEndPr>
        <w:rPr>
          <w:rFonts w:ascii="Arial" w:hAnsi="Arial" w:eastAsia="宋体" w:cs="Times New Roman"/>
          <w:b/>
          <w:bCs/>
          <w:color w:val="auto"/>
          <w:kern w:val="2"/>
          <w:sz w:val="24"/>
          <w:szCs w:val="24"/>
          <w:lang w:val="zh-CN"/>
        </w:rPr>
      </w:sdtEndPr>
      <w:sdtContent>
        <w:p>
          <w:pPr>
            <w:pStyle w:val="105"/>
            <w:ind w:firstLine="480"/>
            <w:jc w:val="center"/>
            <w:rPr>
              <w:rFonts w:ascii="仿宋_GB2312" w:hAnsi="Times New Roman" w:eastAsia="仿宋_GB2312" w:cs="Times New Roman"/>
              <w:b/>
              <w:bCs/>
              <w:color w:val="000000" w:themeColor="text1"/>
              <w:sz w:val="36"/>
              <w:szCs w:val="36"/>
              <w14:textFill>
                <w14:solidFill>
                  <w14:schemeClr w14:val="tx1"/>
                </w14:solidFill>
              </w14:textFill>
            </w:rPr>
          </w:pPr>
          <w:bookmarkStart w:id="1" w:name="_Toc287979041"/>
          <w:r>
            <w:rPr>
              <w:rFonts w:hint="eastAsia" w:ascii="仿宋_GB2312" w:hAnsi="Times New Roman" w:eastAsia="仿宋_GB2312" w:cs="Times New Roman"/>
              <w:b/>
              <w:bCs/>
              <w:color w:val="000000" w:themeColor="text1"/>
              <w:sz w:val="36"/>
              <w:szCs w:val="36"/>
              <w:lang w:val="zh-CN"/>
              <w14:textFill>
                <w14:solidFill>
                  <w14:schemeClr w14:val="tx1"/>
                </w14:solidFill>
              </w14:textFill>
            </w:rPr>
            <w:t>目录</w:t>
          </w:r>
        </w:p>
        <w:p>
          <w:pPr>
            <w:pStyle w:val="21"/>
            <w:spacing w:line="240" w:lineRule="auto"/>
            <w:rPr>
              <w:rFonts w:eastAsia="仿宋_GB2312"/>
              <w:sz w:val="24"/>
              <w:szCs w:val="24"/>
            </w:rPr>
          </w:pPr>
          <w:r>
            <w:rPr>
              <w:rFonts w:eastAsia="仿宋_GB2312"/>
              <w:sz w:val="24"/>
              <w:szCs w:val="24"/>
            </w:rPr>
            <w:fldChar w:fldCharType="begin"/>
          </w:r>
          <w:r>
            <w:rPr>
              <w:rFonts w:eastAsia="仿宋_GB2312"/>
              <w:sz w:val="24"/>
              <w:szCs w:val="24"/>
            </w:rPr>
            <w:instrText xml:space="preserve"> TOC \o "1-3" \h \z \u </w:instrText>
          </w:r>
          <w:r>
            <w:rPr>
              <w:rFonts w:eastAsia="仿宋_GB2312"/>
              <w:sz w:val="24"/>
              <w:szCs w:val="24"/>
            </w:rPr>
            <w:fldChar w:fldCharType="separate"/>
          </w:r>
          <w:r>
            <w:fldChar w:fldCharType="begin"/>
          </w:r>
          <w:r>
            <w:instrText xml:space="preserve"> HYPERLINK \l "_Toc68612176" </w:instrText>
          </w:r>
          <w:r>
            <w:fldChar w:fldCharType="separate"/>
          </w:r>
          <w:r>
            <w:rPr>
              <w:rStyle w:val="36"/>
              <w:rFonts w:eastAsia="仿宋_GB2312"/>
              <w:sz w:val="24"/>
              <w:szCs w:val="24"/>
            </w:rPr>
            <w:t>第一章  总 则</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_Toc68612176 \h </w:instrText>
          </w:r>
          <w:r>
            <w:rPr>
              <w:rFonts w:eastAsia="仿宋_GB2312"/>
              <w:sz w:val="24"/>
              <w:szCs w:val="24"/>
            </w:rPr>
            <w:fldChar w:fldCharType="separate"/>
          </w:r>
          <w:r>
            <w:rPr>
              <w:rFonts w:eastAsia="仿宋_GB2312"/>
              <w:sz w:val="24"/>
              <w:szCs w:val="24"/>
            </w:rPr>
            <w:t>1</w:t>
          </w:r>
          <w:r>
            <w:rPr>
              <w:rFonts w:eastAsia="仿宋_GB2312"/>
              <w:sz w:val="24"/>
              <w:szCs w:val="24"/>
            </w:rPr>
            <w:fldChar w:fldCharType="end"/>
          </w:r>
          <w:r>
            <w:rPr>
              <w:rFonts w:eastAsia="仿宋_GB2312"/>
              <w:sz w:val="24"/>
              <w:szCs w:val="24"/>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"_Toc68612177" </w:instrText>
          </w:r>
          <w:r>
            <w:fldChar w:fldCharType="separate"/>
          </w:r>
          <w:r>
            <w:rPr>
              <w:rStyle w:val="36"/>
              <w:rFonts w:ascii="Times New Roman" w:hAnsi="Times New Roman" w:eastAsia="仿宋_GB2312"/>
            </w:rPr>
            <w:t>1.1划定背景</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_Toc68612177 \h </w:instrText>
          </w:r>
          <w:r>
            <w:rPr>
              <w:rFonts w:ascii="Times New Roman" w:hAnsi="Times New Roman" w:eastAsia="仿宋_GB2312"/>
            </w:rPr>
            <w:fldChar w:fldCharType="separate"/>
          </w:r>
          <w:r>
            <w:rPr>
              <w:rFonts w:ascii="Times New Roman" w:hAnsi="Times New Roman" w:eastAsia="仿宋_GB2312"/>
            </w:rPr>
            <w:t>1</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"_Toc68612178" </w:instrText>
          </w:r>
          <w:r>
            <w:fldChar w:fldCharType="separate"/>
          </w:r>
          <w:r>
            <w:rPr>
              <w:rStyle w:val="36"/>
              <w:rFonts w:ascii="Times New Roman" w:hAnsi="Times New Roman" w:eastAsia="仿宋_GB2312"/>
            </w:rPr>
            <w:t>1.2划定原则</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_Toc68612178 \h </w:instrText>
          </w:r>
          <w:r>
            <w:rPr>
              <w:rFonts w:ascii="Times New Roman" w:hAnsi="Times New Roman" w:eastAsia="仿宋_GB2312"/>
            </w:rPr>
            <w:fldChar w:fldCharType="separate"/>
          </w:r>
          <w:r>
            <w:rPr>
              <w:rFonts w:ascii="Times New Roman" w:hAnsi="Times New Roman" w:eastAsia="仿宋_GB2312"/>
            </w:rPr>
            <w:t>2</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"_Toc68612179" </w:instrText>
          </w:r>
          <w:r>
            <w:fldChar w:fldCharType="separate"/>
          </w:r>
          <w:r>
            <w:rPr>
              <w:rStyle w:val="36"/>
              <w:rFonts w:ascii="Times New Roman" w:hAnsi="Times New Roman" w:eastAsia="仿宋_GB2312"/>
            </w:rPr>
            <w:t>1.3划定依据</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_Toc68612179 \h </w:instrText>
          </w:r>
          <w:r>
            <w:rPr>
              <w:rFonts w:ascii="Times New Roman" w:hAnsi="Times New Roman" w:eastAsia="仿宋_GB2312"/>
            </w:rPr>
            <w:fldChar w:fldCharType="separate"/>
          </w:r>
          <w:r>
            <w:rPr>
              <w:rFonts w:ascii="Times New Roman" w:hAnsi="Times New Roman" w:eastAsia="仿宋_GB2312"/>
            </w:rPr>
            <w:t>2</w:t>
          </w:r>
          <w:r>
            <w:rPr>
              <w:rFonts w:ascii="Times New Roman" w:hAnsi="Times New Roman" w:eastAsia="仿宋_GB2312"/>
            </w:rPr>
            <w:fldChar w:fldCharType="end"/>
          </w:r>
          <w:r>
            <w:rPr>
              <w:rFonts w:ascii="Times New Roman" w:hAnsi="Times New Roman" w:eastAsia="仿宋_GB2312"/>
            </w:rPr>
            <w:fldChar w:fldCharType="end"/>
          </w:r>
        </w:p>
        <w:p>
          <w:pPr>
            <w:pStyle w:val="21"/>
            <w:spacing w:line="240" w:lineRule="auto"/>
            <w:rPr>
              <w:rFonts w:eastAsia="仿宋_GB2312"/>
              <w:sz w:val="24"/>
              <w:szCs w:val="24"/>
            </w:rPr>
          </w:pPr>
          <w:r>
            <w:fldChar w:fldCharType="begin"/>
          </w:r>
          <w:r>
            <w:instrText xml:space="preserve"> HYPERLINK \l "_Toc68612180" </w:instrText>
          </w:r>
          <w:r>
            <w:fldChar w:fldCharType="separate"/>
          </w:r>
          <w:r>
            <w:rPr>
              <w:rStyle w:val="36"/>
              <w:rFonts w:eastAsia="仿宋_GB2312"/>
              <w:sz w:val="24"/>
              <w:szCs w:val="24"/>
            </w:rPr>
            <w:t>第二章  区域概况</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_Toc68612180 \h </w:instrText>
          </w:r>
          <w:r>
            <w:rPr>
              <w:rFonts w:eastAsia="仿宋_GB2312"/>
              <w:sz w:val="24"/>
              <w:szCs w:val="24"/>
            </w:rPr>
            <w:fldChar w:fldCharType="separate"/>
          </w:r>
          <w:r>
            <w:rPr>
              <w:rFonts w:eastAsia="仿宋_GB2312"/>
              <w:sz w:val="24"/>
              <w:szCs w:val="24"/>
            </w:rPr>
            <w:t>4</w:t>
          </w:r>
          <w:r>
            <w:rPr>
              <w:rFonts w:eastAsia="仿宋_GB2312"/>
              <w:sz w:val="24"/>
              <w:szCs w:val="24"/>
            </w:rPr>
            <w:fldChar w:fldCharType="end"/>
          </w:r>
          <w:r>
            <w:rPr>
              <w:rFonts w:eastAsia="仿宋_GB2312"/>
              <w:sz w:val="24"/>
              <w:szCs w:val="24"/>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"_Toc68612181" </w:instrText>
          </w:r>
          <w:r>
            <w:fldChar w:fldCharType="separate"/>
          </w:r>
          <w:r>
            <w:rPr>
              <w:rStyle w:val="36"/>
              <w:rFonts w:ascii="Times New Roman" w:hAnsi="Times New Roman" w:eastAsia="仿宋_GB2312"/>
            </w:rPr>
            <w:t>2.1自然概况</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_Toc68612181 \h </w:instrText>
          </w:r>
          <w:r>
            <w:rPr>
              <w:rFonts w:ascii="Times New Roman" w:hAnsi="Times New Roman" w:eastAsia="仿宋_GB2312"/>
            </w:rPr>
            <w:fldChar w:fldCharType="separate"/>
          </w:r>
          <w:r>
            <w:rPr>
              <w:rFonts w:ascii="Times New Roman" w:hAnsi="Times New Roman" w:eastAsia="仿宋_GB2312"/>
            </w:rPr>
            <w:t>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"_Toc68612182" </w:instrText>
          </w:r>
          <w:r>
            <w:fldChar w:fldCharType="separate"/>
          </w:r>
          <w:r>
            <w:rPr>
              <w:rStyle w:val="36"/>
              <w:rFonts w:ascii="Times New Roman" w:hAnsi="Times New Roman" w:eastAsia="仿宋_GB2312"/>
            </w:rPr>
            <w:t>2.1.1地理位置</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_Toc68612182 \h </w:instrText>
          </w:r>
          <w:r>
            <w:rPr>
              <w:rFonts w:ascii="Times New Roman" w:hAnsi="Times New Roman" w:eastAsia="仿宋_GB2312"/>
            </w:rPr>
            <w:fldChar w:fldCharType="separate"/>
          </w:r>
          <w:r>
            <w:rPr>
              <w:rFonts w:ascii="Times New Roman" w:hAnsi="Times New Roman" w:eastAsia="仿宋_GB2312"/>
            </w:rPr>
            <w:t>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"_Toc68612183" </w:instrText>
          </w:r>
          <w:r>
            <w:fldChar w:fldCharType="separate"/>
          </w:r>
          <w:r>
            <w:rPr>
              <w:rStyle w:val="36"/>
              <w:rFonts w:ascii="Times New Roman" w:hAnsi="Times New Roman" w:eastAsia="仿宋_GB2312"/>
            </w:rPr>
            <w:t>2.1.2地质地貌</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_Toc68612183 \h </w:instrText>
          </w:r>
          <w:r>
            <w:rPr>
              <w:rFonts w:ascii="Times New Roman" w:hAnsi="Times New Roman" w:eastAsia="仿宋_GB2312"/>
            </w:rPr>
            <w:fldChar w:fldCharType="separate"/>
          </w:r>
          <w:r>
            <w:rPr>
              <w:rFonts w:ascii="Times New Roman" w:hAnsi="Times New Roman" w:eastAsia="仿宋_GB2312"/>
            </w:rPr>
            <w:t>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"_Toc68612184" </w:instrText>
          </w:r>
          <w:r>
            <w:fldChar w:fldCharType="separate"/>
          </w:r>
          <w:r>
            <w:rPr>
              <w:rStyle w:val="36"/>
              <w:rFonts w:ascii="Times New Roman" w:hAnsi="Times New Roman" w:eastAsia="仿宋_GB2312"/>
            </w:rPr>
            <w:t>2.1.3水文气象</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_Toc68612184 \h </w:instrText>
          </w:r>
          <w:r>
            <w:rPr>
              <w:rFonts w:ascii="Times New Roman" w:hAnsi="Times New Roman" w:eastAsia="仿宋_GB2312"/>
            </w:rPr>
            <w:fldChar w:fldCharType="separate"/>
          </w:r>
          <w:r>
            <w:rPr>
              <w:rFonts w:ascii="Times New Roman" w:hAnsi="Times New Roman" w:eastAsia="仿宋_GB2312"/>
            </w:rPr>
            <w:t>5</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"_Toc68612185" </w:instrText>
          </w:r>
          <w:r>
            <w:fldChar w:fldCharType="separate"/>
          </w:r>
          <w:r>
            <w:rPr>
              <w:rStyle w:val="36"/>
              <w:rFonts w:ascii="Times New Roman" w:hAnsi="Times New Roman" w:eastAsia="仿宋_GB2312"/>
            </w:rPr>
            <w:t>2.1.4河流水系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_Toc68612185 \h </w:instrText>
          </w:r>
          <w:r>
            <w:rPr>
              <w:rFonts w:ascii="Times New Roman" w:hAnsi="Times New Roman" w:eastAsia="仿宋_GB2312"/>
            </w:rPr>
            <w:fldChar w:fldCharType="separate"/>
          </w:r>
          <w:r>
            <w:rPr>
              <w:rFonts w:ascii="Times New Roman" w:hAnsi="Times New Roman" w:eastAsia="仿宋_GB2312"/>
            </w:rPr>
            <w:t>6</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"_Toc68612186" </w:instrText>
          </w:r>
          <w:r>
            <w:fldChar w:fldCharType="separate"/>
          </w:r>
          <w:r>
            <w:rPr>
              <w:rStyle w:val="36"/>
              <w:rFonts w:ascii="Times New Roman" w:hAnsi="Times New Roman" w:eastAsia="仿宋_GB2312"/>
            </w:rPr>
            <w:t>2.1.5土地资源</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_Toc68612186 \h </w:instrText>
          </w:r>
          <w:r>
            <w:rPr>
              <w:rFonts w:ascii="Times New Roman" w:hAnsi="Times New Roman" w:eastAsia="仿宋_GB2312"/>
            </w:rPr>
            <w:fldChar w:fldCharType="separate"/>
          </w:r>
          <w:r>
            <w:rPr>
              <w:rFonts w:ascii="Times New Roman" w:hAnsi="Times New Roman" w:eastAsia="仿宋_GB2312"/>
            </w:rPr>
            <w:t>10</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"_Toc68612187" </w:instrText>
          </w:r>
          <w:r>
            <w:fldChar w:fldCharType="separate"/>
          </w:r>
          <w:r>
            <w:rPr>
              <w:rStyle w:val="36"/>
              <w:rFonts w:ascii="Times New Roman" w:hAnsi="Times New Roman" w:eastAsia="仿宋_GB2312"/>
            </w:rPr>
            <w:t>2.2社会经济现状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_Toc68612187 \h </w:instrText>
          </w:r>
          <w:r>
            <w:rPr>
              <w:rFonts w:ascii="Times New Roman" w:hAnsi="Times New Roman" w:eastAsia="仿宋_GB2312"/>
            </w:rPr>
            <w:fldChar w:fldCharType="separate"/>
          </w:r>
          <w:r>
            <w:rPr>
              <w:rFonts w:ascii="Times New Roman" w:hAnsi="Times New Roman" w:eastAsia="仿宋_GB2312"/>
            </w:rPr>
            <w:t>11</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"_Toc68612188" </w:instrText>
          </w:r>
          <w:r>
            <w:fldChar w:fldCharType="separate"/>
          </w:r>
          <w:r>
            <w:rPr>
              <w:rStyle w:val="36"/>
              <w:rFonts w:ascii="Times New Roman" w:hAnsi="Times New Roman" w:eastAsia="仿宋_GB2312"/>
            </w:rPr>
            <w:t>2.2.1行政区划与人口</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_Toc68612188 \h </w:instrText>
          </w:r>
          <w:r>
            <w:rPr>
              <w:rFonts w:ascii="Times New Roman" w:hAnsi="Times New Roman" w:eastAsia="仿宋_GB2312"/>
            </w:rPr>
            <w:fldChar w:fldCharType="separate"/>
          </w:r>
          <w:r>
            <w:rPr>
              <w:rFonts w:ascii="Times New Roman" w:hAnsi="Times New Roman" w:eastAsia="仿宋_GB2312"/>
            </w:rPr>
            <w:t>11</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"_Toc68612189" </w:instrText>
          </w:r>
          <w:r>
            <w:fldChar w:fldCharType="separate"/>
          </w:r>
          <w:r>
            <w:rPr>
              <w:rStyle w:val="36"/>
              <w:rFonts w:ascii="Times New Roman" w:hAnsi="Times New Roman" w:eastAsia="仿宋_GB2312"/>
            </w:rPr>
            <w:t>2.2.2经济概况</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_Toc68612189 \h </w:instrText>
          </w:r>
          <w:r>
            <w:rPr>
              <w:rFonts w:ascii="Times New Roman" w:hAnsi="Times New Roman" w:eastAsia="仿宋_GB2312"/>
            </w:rPr>
            <w:fldChar w:fldCharType="separate"/>
          </w:r>
          <w:r>
            <w:rPr>
              <w:rFonts w:ascii="Times New Roman" w:hAnsi="Times New Roman" w:eastAsia="仿宋_GB2312"/>
            </w:rPr>
            <w:t>12</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"_Toc68612190" </w:instrText>
          </w:r>
          <w:r>
            <w:fldChar w:fldCharType="separate"/>
          </w:r>
          <w:r>
            <w:rPr>
              <w:rStyle w:val="36"/>
              <w:rFonts w:ascii="Times New Roman" w:hAnsi="Times New Roman" w:eastAsia="仿宋_GB2312"/>
            </w:rPr>
            <w:t>2.3水资源及开发利用现状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_Toc68612190 \h </w:instrText>
          </w:r>
          <w:r>
            <w:rPr>
              <w:rFonts w:ascii="Times New Roman" w:hAnsi="Times New Roman" w:eastAsia="仿宋_GB2312"/>
            </w:rPr>
            <w:fldChar w:fldCharType="separate"/>
          </w:r>
          <w:r>
            <w:rPr>
              <w:rFonts w:ascii="Times New Roman" w:hAnsi="Times New Roman" w:eastAsia="仿宋_GB2312"/>
            </w:rPr>
            <w:t>13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"_Toc68612191" </w:instrText>
          </w:r>
          <w:r>
            <w:fldChar w:fldCharType="separate"/>
          </w:r>
          <w:r>
            <w:rPr>
              <w:rStyle w:val="36"/>
              <w:rFonts w:ascii="Times New Roman" w:hAnsi="Times New Roman" w:eastAsia="仿宋_GB2312"/>
            </w:rPr>
            <w:t>2.3.1水资源量</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_Toc68612191 \h </w:instrText>
          </w:r>
          <w:r>
            <w:rPr>
              <w:rFonts w:ascii="Times New Roman" w:hAnsi="Times New Roman" w:eastAsia="仿宋_GB2312"/>
            </w:rPr>
            <w:fldChar w:fldCharType="separate"/>
          </w:r>
          <w:r>
            <w:rPr>
              <w:rFonts w:ascii="Times New Roman" w:hAnsi="Times New Roman" w:eastAsia="仿宋_GB2312"/>
            </w:rPr>
            <w:t>13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"_Toc68612192" </w:instrText>
          </w:r>
          <w:r>
            <w:fldChar w:fldCharType="separate"/>
          </w:r>
          <w:r>
            <w:rPr>
              <w:rStyle w:val="36"/>
              <w:rFonts w:ascii="Times New Roman" w:hAnsi="Times New Roman" w:eastAsia="仿宋_GB2312"/>
            </w:rPr>
            <w:t>2.3.2水资源利用现状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_Toc68612192 \h </w:instrText>
          </w:r>
          <w:r>
            <w:rPr>
              <w:rFonts w:ascii="Times New Roman" w:hAnsi="Times New Roman" w:eastAsia="仿宋_GB2312"/>
            </w:rPr>
            <w:fldChar w:fldCharType="separate"/>
          </w:r>
          <w:r>
            <w:rPr>
              <w:rFonts w:ascii="Times New Roman" w:hAnsi="Times New Roman" w:eastAsia="仿宋_GB2312"/>
            </w:rPr>
            <w:t>14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"_Toc68612193" </w:instrText>
          </w:r>
          <w:r>
            <w:fldChar w:fldCharType="separate"/>
          </w:r>
          <w:r>
            <w:rPr>
              <w:rStyle w:val="36"/>
              <w:rFonts w:ascii="Times New Roman" w:hAnsi="Times New Roman" w:eastAsia="仿宋_GB2312"/>
            </w:rPr>
            <w:t>2.3.3供水现状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_Toc68612193 \h </w:instrText>
          </w:r>
          <w:r>
            <w:rPr>
              <w:rFonts w:ascii="Times New Roman" w:hAnsi="Times New Roman" w:eastAsia="仿宋_GB2312"/>
            </w:rPr>
            <w:fldChar w:fldCharType="separate"/>
          </w:r>
          <w:r>
            <w:rPr>
              <w:rFonts w:ascii="Times New Roman" w:hAnsi="Times New Roman" w:eastAsia="仿宋_GB2312"/>
            </w:rPr>
            <w:t>15</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"_Toc68612194" </w:instrText>
          </w:r>
          <w:r>
            <w:fldChar w:fldCharType="separate"/>
          </w:r>
          <w:r>
            <w:rPr>
              <w:rStyle w:val="36"/>
              <w:rFonts w:ascii="Times New Roman" w:hAnsi="Times New Roman" w:eastAsia="仿宋_GB2312"/>
            </w:rPr>
            <w:t>2.3.4水功能区水环境功能区划分</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_Toc68612194 \h </w:instrText>
          </w:r>
          <w:r>
            <w:rPr>
              <w:rFonts w:ascii="Times New Roman" w:hAnsi="Times New Roman" w:eastAsia="仿宋_GB2312"/>
            </w:rPr>
            <w:fldChar w:fldCharType="separate"/>
          </w:r>
          <w:r>
            <w:rPr>
              <w:rFonts w:ascii="Times New Roman" w:hAnsi="Times New Roman" w:eastAsia="仿宋_GB2312"/>
            </w:rPr>
            <w:t>17</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"_Toc68612195" </w:instrText>
          </w:r>
          <w:r>
            <w:fldChar w:fldCharType="separate"/>
          </w:r>
          <w:r>
            <w:rPr>
              <w:rStyle w:val="36"/>
              <w:rFonts w:ascii="Times New Roman" w:hAnsi="Times New Roman" w:eastAsia="仿宋_GB2312"/>
            </w:rPr>
            <w:t>2.4饮用水水源地现状调查</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_Toc68612195 \h </w:instrText>
          </w:r>
          <w:r>
            <w:rPr>
              <w:rFonts w:ascii="Times New Roman" w:hAnsi="Times New Roman" w:eastAsia="仿宋_GB2312"/>
            </w:rPr>
            <w:fldChar w:fldCharType="separate"/>
          </w:r>
          <w:r>
            <w:rPr>
              <w:rFonts w:ascii="Times New Roman" w:hAnsi="Times New Roman" w:eastAsia="仿宋_GB2312"/>
            </w:rPr>
            <w:t>22</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"_Toc68612196" </w:instrText>
          </w:r>
          <w:r>
            <w:fldChar w:fldCharType="separate"/>
          </w:r>
          <w:r>
            <w:rPr>
              <w:rStyle w:val="36"/>
              <w:rFonts w:ascii="Times New Roman" w:hAnsi="Times New Roman" w:eastAsia="仿宋_GB2312"/>
            </w:rPr>
            <w:t>2.4.1龙岗镇华光潭一级水库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_Toc68612196 \h </w:instrText>
          </w:r>
          <w:r>
            <w:rPr>
              <w:rFonts w:ascii="Times New Roman" w:hAnsi="Times New Roman" w:eastAsia="仿宋_GB2312"/>
            </w:rPr>
            <w:fldChar w:fldCharType="separate"/>
          </w:r>
          <w:r>
            <w:rPr>
              <w:rFonts w:ascii="Times New Roman" w:hAnsi="Times New Roman" w:eastAsia="仿宋_GB2312"/>
            </w:rPr>
            <w:t>22</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"_Toc68612197" </w:instrText>
          </w:r>
          <w:r>
            <w:fldChar w:fldCharType="separate"/>
          </w:r>
          <w:r>
            <w:rPr>
              <w:rStyle w:val="36"/>
              <w:rFonts w:ascii="Times New Roman" w:hAnsi="Times New Roman" w:eastAsia="仿宋_GB2312"/>
            </w:rPr>
            <w:t>2.4.2 板桥镇居仁水库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_Toc68612197 \h </w:instrText>
          </w:r>
          <w:r>
            <w:rPr>
              <w:rFonts w:ascii="Times New Roman" w:hAnsi="Times New Roman" w:eastAsia="仿宋_GB2312"/>
            </w:rPr>
            <w:fldChar w:fldCharType="separate"/>
          </w:r>
          <w:r>
            <w:rPr>
              <w:rFonts w:ascii="Times New Roman" w:hAnsi="Times New Roman" w:eastAsia="仿宋_GB2312"/>
            </w:rPr>
            <w:t>23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"_Toc68612198" </w:instrText>
          </w:r>
          <w:r>
            <w:fldChar w:fldCharType="separate"/>
          </w:r>
          <w:r>
            <w:rPr>
              <w:rStyle w:val="36"/>
              <w:rFonts w:ascii="Times New Roman" w:hAnsi="Times New Roman" w:eastAsia="仿宋_GB2312"/>
            </w:rPr>
            <w:t>2.4.3 河桥镇江岭水库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_Toc68612198 \h </w:instrText>
          </w:r>
          <w:r>
            <w:rPr>
              <w:rFonts w:ascii="Times New Roman" w:hAnsi="Times New Roman" w:eastAsia="仿宋_GB2312"/>
            </w:rPr>
            <w:fldChar w:fldCharType="separate"/>
          </w:r>
          <w:r>
            <w:rPr>
              <w:rFonts w:ascii="Times New Roman" w:hAnsi="Times New Roman" w:eastAsia="仿宋_GB2312"/>
            </w:rPr>
            <w:t>23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"_Toc68612199" </w:instrText>
          </w:r>
          <w:r>
            <w:fldChar w:fldCharType="separate"/>
          </w:r>
          <w:r>
            <w:rPr>
              <w:rStyle w:val="36"/>
              <w:rFonts w:ascii="Times New Roman" w:hAnsi="Times New Roman" w:eastAsia="仿宋_GB2312"/>
            </w:rPr>
            <w:t>2.4.4 岛石镇喷洞水库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_Toc68612199 \h </w:instrText>
          </w:r>
          <w:r>
            <w:rPr>
              <w:rFonts w:ascii="Times New Roman" w:hAnsi="Times New Roman" w:eastAsia="仿宋_GB2312"/>
            </w:rPr>
            <w:fldChar w:fldCharType="separate"/>
          </w:r>
          <w:r>
            <w:rPr>
              <w:rFonts w:ascii="Times New Roman" w:hAnsi="Times New Roman" w:eastAsia="仿宋_GB2312"/>
            </w:rPr>
            <w:t>24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"_Toc68612200" </w:instrText>
          </w:r>
          <w:r>
            <w:fldChar w:fldCharType="separate"/>
          </w:r>
          <w:r>
            <w:rPr>
              <w:rStyle w:val="36"/>
              <w:rFonts w:ascii="Times New Roman" w:hAnsi="Times New Roman" w:eastAsia="仿宋_GB2312"/>
            </w:rPr>
            <w:t>2.4.5 太湖源镇夏村水库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_Toc68612200 \h </w:instrText>
          </w:r>
          <w:r>
            <w:rPr>
              <w:rFonts w:ascii="Times New Roman" w:hAnsi="Times New Roman" w:eastAsia="仿宋_GB2312"/>
            </w:rPr>
            <w:fldChar w:fldCharType="separate"/>
          </w:r>
          <w:r>
            <w:rPr>
              <w:rFonts w:ascii="Times New Roman" w:hAnsi="Times New Roman" w:eastAsia="仿宋_GB2312"/>
            </w:rPr>
            <w:t>25</w:t>
          </w:r>
          <w:r>
            <w:rPr>
              <w:rFonts w:ascii="Times New Roman" w:hAnsi="Times New Roman" w:eastAsia="仿宋_GB2312"/>
            </w:rPr>
            <w:fldChar w:fldCharType="end"/>
          </w:r>
          <w:r>
            <w:rPr>
              <w:rFonts w:ascii="Times New Roman" w:hAnsi="Times New Roman" w:eastAsia="仿宋_GB2312"/>
            </w:rPr>
            <w:fldChar w:fldCharType="end"/>
          </w:r>
        </w:p>
        <w:p>
          <w:pPr>
            <w:pStyle w:val="21"/>
            <w:spacing w:line="240" w:lineRule="auto"/>
            <w:rPr>
              <w:rFonts w:eastAsia="仿宋_GB2312"/>
              <w:sz w:val="24"/>
              <w:szCs w:val="24"/>
            </w:rPr>
          </w:pPr>
          <w:r>
            <w:fldChar w:fldCharType="begin"/>
          </w:r>
          <w:r>
            <w:instrText xml:space="preserve"> HYPERLINK \l "_Toc68612201" </w:instrText>
          </w:r>
          <w:r>
            <w:fldChar w:fldCharType="separate"/>
          </w:r>
          <w:r>
            <w:rPr>
              <w:rStyle w:val="36"/>
              <w:rFonts w:eastAsia="仿宋_GB2312"/>
              <w:sz w:val="24"/>
              <w:szCs w:val="24"/>
            </w:rPr>
            <w:t>第三章  划定方案及可行性分析</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_Toc68612201 \h </w:instrText>
          </w:r>
          <w:r>
            <w:rPr>
              <w:rFonts w:eastAsia="仿宋_GB2312"/>
              <w:sz w:val="24"/>
              <w:szCs w:val="24"/>
            </w:rPr>
            <w:fldChar w:fldCharType="separate"/>
          </w:r>
          <w:r>
            <w:rPr>
              <w:rFonts w:eastAsia="仿宋_GB2312"/>
              <w:sz w:val="24"/>
              <w:szCs w:val="24"/>
            </w:rPr>
            <w:t>26</w:t>
          </w:r>
          <w:r>
            <w:rPr>
              <w:rFonts w:eastAsia="仿宋_GB2312"/>
              <w:sz w:val="24"/>
              <w:szCs w:val="24"/>
            </w:rPr>
            <w:fldChar w:fldCharType="end"/>
          </w:r>
          <w:r>
            <w:rPr>
              <w:rFonts w:eastAsia="仿宋_GB2312"/>
              <w:sz w:val="24"/>
              <w:szCs w:val="24"/>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"_Toc68612202" </w:instrText>
          </w:r>
          <w:r>
            <w:fldChar w:fldCharType="separate"/>
          </w:r>
          <w:r>
            <w:rPr>
              <w:rStyle w:val="36"/>
              <w:rFonts w:ascii="Times New Roman" w:hAnsi="Times New Roman" w:eastAsia="仿宋_GB2312"/>
            </w:rPr>
            <w:t>3.1划分技术原则</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_Toc68612202 \h </w:instrText>
          </w:r>
          <w:r>
            <w:rPr>
              <w:rFonts w:ascii="Times New Roman" w:hAnsi="Times New Roman" w:eastAsia="仿宋_GB2312"/>
            </w:rPr>
            <w:fldChar w:fldCharType="separate"/>
          </w:r>
          <w:r>
            <w:rPr>
              <w:rFonts w:ascii="Times New Roman" w:hAnsi="Times New Roman" w:eastAsia="仿宋_GB2312"/>
            </w:rPr>
            <w:t>26</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"_Toc68612203" </w:instrText>
          </w:r>
          <w:r>
            <w:fldChar w:fldCharType="separate"/>
          </w:r>
          <w:r>
            <w:rPr>
              <w:rStyle w:val="36"/>
              <w:rFonts w:ascii="Times New Roman" w:hAnsi="Times New Roman" w:eastAsia="仿宋_GB2312"/>
            </w:rPr>
            <w:t>3.2技术规范</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_Toc68612203 \h </w:instrText>
          </w:r>
          <w:r>
            <w:rPr>
              <w:rFonts w:ascii="Times New Roman" w:hAnsi="Times New Roman" w:eastAsia="仿宋_GB2312"/>
            </w:rPr>
            <w:fldChar w:fldCharType="separate"/>
          </w:r>
          <w:r>
            <w:rPr>
              <w:rFonts w:ascii="Times New Roman" w:hAnsi="Times New Roman" w:eastAsia="仿宋_GB2312"/>
            </w:rPr>
            <w:t>26</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"_Toc68612204" </w:instrText>
          </w:r>
          <w:r>
            <w:fldChar w:fldCharType="separate"/>
          </w:r>
          <w:r>
            <w:rPr>
              <w:rStyle w:val="36"/>
              <w:rFonts w:ascii="Times New Roman" w:hAnsi="Times New Roman" w:eastAsia="仿宋_GB2312"/>
            </w:rPr>
            <w:t>3.2.1河流型饮用水水源保护区的划分技术规范</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_Toc68612204 \h </w:instrText>
          </w:r>
          <w:r>
            <w:rPr>
              <w:rFonts w:ascii="Times New Roman" w:hAnsi="Times New Roman" w:eastAsia="仿宋_GB2312"/>
            </w:rPr>
            <w:fldChar w:fldCharType="separate"/>
          </w:r>
          <w:r>
            <w:rPr>
              <w:rFonts w:ascii="Times New Roman" w:hAnsi="Times New Roman" w:eastAsia="仿宋_GB2312"/>
            </w:rPr>
            <w:t>26</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"_Toc68612205" </w:instrText>
          </w:r>
          <w:r>
            <w:fldChar w:fldCharType="separate"/>
          </w:r>
          <w:r>
            <w:rPr>
              <w:rStyle w:val="36"/>
              <w:rFonts w:ascii="Times New Roman" w:hAnsi="Times New Roman" w:eastAsia="仿宋_GB2312"/>
            </w:rPr>
            <w:t>3.2.2湖库型饮用水水源保护区的划分技术规范</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_Toc68612205 \h </w:instrText>
          </w:r>
          <w:r>
            <w:rPr>
              <w:rFonts w:ascii="Times New Roman" w:hAnsi="Times New Roman" w:eastAsia="仿宋_GB2312"/>
            </w:rPr>
            <w:fldChar w:fldCharType="separate"/>
          </w:r>
          <w:r>
            <w:rPr>
              <w:rFonts w:ascii="Times New Roman" w:hAnsi="Times New Roman" w:eastAsia="仿宋_GB2312"/>
            </w:rPr>
            <w:t>27</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"_Toc68612206" </w:instrText>
          </w:r>
          <w:r>
            <w:fldChar w:fldCharType="separate"/>
          </w:r>
          <w:r>
            <w:rPr>
              <w:rStyle w:val="36"/>
              <w:rFonts w:ascii="Times New Roman" w:hAnsi="Times New Roman" w:eastAsia="仿宋_GB2312"/>
            </w:rPr>
            <w:t>3.2.3本次划分情况</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_Toc68612206 \h </w:instrText>
          </w:r>
          <w:r>
            <w:rPr>
              <w:rFonts w:ascii="Times New Roman" w:hAnsi="Times New Roman" w:eastAsia="仿宋_GB2312"/>
            </w:rPr>
            <w:fldChar w:fldCharType="separate"/>
          </w:r>
          <w:r>
            <w:rPr>
              <w:rFonts w:ascii="Times New Roman" w:hAnsi="Times New Roman" w:eastAsia="仿宋_GB2312"/>
            </w:rPr>
            <w:t>29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"_Toc68612207" </w:instrText>
          </w:r>
          <w:r>
            <w:fldChar w:fldCharType="separate"/>
          </w:r>
          <w:r>
            <w:rPr>
              <w:rStyle w:val="36"/>
              <w:rFonts w:ascii="Times New Roman" w:hAnsi="Times New Roman" w:eastAsia="仿宋_GB2312"/>
            </w:rPr>
            <w:t>3.3农村饮用水水源保护范围划定内业流程</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_Toc68612207 \h </w:instrText>
          </w:r>
          <w:r>
            <w:rPr>
              <w:rFonts w:ascii="Times New Roman" w:hAnsi="Times New Roman" w:eastAsia="仿宋_GB2312"/>
            </w:rPr>
            <w:fldChar w:fldCharType="separate"/>
          </w:r>
          <w:r>
            <w:rPr>
              <w:rFonts w:ascii="Times New Roman" w:hAnsi="Times New Roman" w:eastAsia="仿宋_GB2312"/>
            </w:rPr>
            <w:t>31</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"_Toc68612208" </w:instrText>
          </w:r>
          <w:r>
            <w:fldChar w:fldCharType="separate"/>
          </w:r>
          <w:r>
            <w:rPr>
              <w:rStyle w:val="36"/>
              <w:rFonts w:ascii="Times New Roman" w:hAnsi="Times New Roman" w:eastAsia="仿宋_GB2312"/>
            </w:rPr>
            <w:t>3.4农村饮用水水源保护范围划定外业调查与复核</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_Toc68612208 \h </w:instrText>
          </w:r>
          <w:r>
            <w:rPr>
              <w:rFonts w:ascii="Times New Roman" w:hAnsi="Times New Roman" w:eastAsia="仿宋_GB2312"/>
            </w:rPr>
            <w:fldChar w:fldCharType="separate"/>
          </w:r>
          <w:r>
            <w:rPr>
              <w:rFonts w:ascii="Times New Roman" w:hAnsi="Times New Roman" w:eastAsia="仿宋_GB2312"/>
            </w:rPr>
            <w:t>32</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"_Toc68612209" </w:instrText>
          </w:r>
          <w:r>
            <w:fldChar w:fldCharType="separate"/>
          </w:r>
          <w:r>
            <w:rPr>
              <w:rStyle w:val="36"/>
              <w:rFonts w:ascii="Times New Roman" w:hAnsi="Times New Roman" w:eastAsia="仿宋_GB2312"/>
            </w:rPr>
            <w:t>3.5划定结果</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_Toc68612209 \h </w:instrText>
          </w:r>
          <w:r>
            <w:rPr>
              <w:rFonts w:ascii="Times New Roman" w:hAnsi="Times New Roman" w:eastAsia="仿宋_GB2312"/>
            </w:rPr>
            <w:fldChar w:fldCharType="separate"/>
          </w:r>
          <w:r>
            <w:rPr>
              <w:rFonts w:ascii="Times New Roman" w:hAnsi="Times New Roman" w:eastAsia="仿宋_GB2312"/>
            </w:rPr>
            <w:t>32</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"_Toc68612210" </w:instrText>
          </w:r>
          <w:r>
            <w:fldChar w:fldCharType="separate"/>
          </w:r>
          <w:r>
            <w:rPr>
              <w:rStyle w:val="36"/>
              <w:rFonts w:ascii="Times New Roman" w:hAnsi="Times New Roman" w:eastAsia="仿宋_GB2312"/>
            </w:rPr>
            <w:t>3.5.1华光潭一级水库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_Toc68612210 \h </w:instrText>
          </w:r>
          <w:r>
            <w:rPr>
              <w:rFonts w:ascii="Times New Roman" w:hAnsi="Times New Roman" w:eastAsia="仿宋_GB2312"/>
            </w:rPr>
            <w:fldChar w:fldCharType="separate"/>
          </w:r>
          <w:r>
            <w:rPr>
              <w:rFonts w:ascii="Times New Roman" w:hAnsi="Times New Roman" w:eastAsia="仿宋_GB2312"/>
            </w:rPr>
            <w:t>32</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"_Toc68612211" </w:instrText>
          </w:r>
          <w:r>
            <w:fldChar w:fldCharType="separate"/>
          </w:r>
          <w:r>
            <w:rPr>
              <w:rStyle w:val="36"/>
              <w:rFonts w:ascii="Times New Roman" w:hAnsi="Times New Roman" w:eastAsia="仿宋_GB2312"/>
            </w:rPr>
            <w:t>3.5.2板桥镇居仁水库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_Toc68612211 \h </w:instrText>
          </w:r>
          <w:r>
            <w:rPr>
              <w:rFonts w:ascii="Times New Roman" w:hAnsi="Times New Roman" w:eastAsia="仿宋_GB2312"/>
            </w:rPr>
            <w:fldChar w:fldCharType="separate"/>
          </w:r>
          <w:r>
            <w:rPr>
              <w:rFonts w:ascii="Times New Roman" w:hAnsi="Times New Roman" w:eastAsia="仿宋_GB2312"/>
            </w:rPr>
            <w:t>33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"_Toc68612212" </w:instrText>
          </w:r>
          <w:r>
            <w:fldChar w:fldCharType="separate"/>
          </w:r>
          <w:r>
            <w:rPr>
              <w:rStyle w:val="36"/>
              <w:rFonts w:ascii="Times New Roman" w:hAnsi="Times New Roman" w:eastAsia="仿宋_GB2312"/>
            </w:rPr>
            <w:t>3.5.3 河桥镇江岭水库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_Toc68612212 \h </w:instrText>
          </w:r>
          <w:r>
            <w:rPr>
              <w:rFonts w:ascii="Times New Roman" w:hAnsi="Times New Roman" w:eastAsia="仿宋_GB2312"/>
            </w:rPr>
            <w:fldChar w:fldCharType="separate"/>
          </w:r>
          <w:r>
            <w:rPr>
              <w:rFonts w:ascii="Times New Roman" w:hAnsi="Times New Roman" w:eastAsia="仿宋_GB2312"/>
            </w:rPr>
            <w:t>33</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"_Toc68612213" </w:instrText>
          </w:r>
          <w:r>
            <w:fldChar w:fldCharType="separate"/>
          </w:r>
          <w:r>
            <w:rPr>
              <w:rStyle w:val="36"/>
              <w:rFonts w:ascii="Times New Roman" w:hAnsi="Times New Roman" w:eastAsia="仿宋_GB2312"/>
            </w:rPr>
            <w:t>3.5.4 岛石镇喷洞水库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_Toc68612213 \h </w:instrText>
          </w:r>
          <w:r>
            <w:rPr>
              <w:rFonts w:ascii="Times New Roman" w:hAnsi="Times New Roman" w:eastAsia="仿宋_GB2312"/>
            </w:rPr>
            <w:fldChar w:fldCharType="separate"/>
          </w:r>
          <w:r>
            <w:rPr>
              <w:rFonts w:ascii="Times New Roman" w:hAnsi="Times New Roman" w:eastAsia="仿宋_GB2312"/>
            </w:rPr>
            <w:t>34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"_Toc68612214" </w:instrText>
          </w:r>
          <w:r>
            <w:fldChar w:fldCharType="separate"/>
          </w:r>
          <w:r>
            <w:rPr>
              <w:rStyle w:val="36"/>
              <w:rFonts w:ascii="Times New Roman" w:hAnsi="Times New Roman" w:eastAsia="仿宋_GB2312"/>
            </w:rPr>
            <w:t>3.5.5 太湖源镇夏村水库</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_Toc68612214 \h </w:instrText>
          </w:r>
          <w:r>
            <w:rPr>
              <w:rFonts w:ascii="Times New Roman" w:hAnsi="Times New Roman" w:eastAsia="仿宋_GB2312"/>
            </w:rPr>
            <w:fldChar w:fldCharType="separate"/>
          </w:r>
          <w:r>
            <w:rPr>
              <w:rFonts w:ascii="Times New Roman" w:hAnsi="Times New Roman" w:eastAsia="仿宋_GB2312"/>
            </w:rPr>
            <w:t>35</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"_Toc68612215" </w:instrText>
          </w:r>
          <w:r>
            <w:fldChar w:fldCharType="separate"/>
          </w:r>
          <w:r>
            <w:rPr>
              <w:rStyle w:val="36"/>
              <w:rFonts w:ascii="Times New Roman" w:hAnsi="Times New Roman" w:eastAsia="仿宋_GB2312"/>
            </w:rPr>
            <w:t>3.6技术规范符合性分析</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_Toc68612215 \h </w:instrText>
          </w:r>
          <w:r>
            <w:rPr>
              <w:rFonts w:ascii="Times New Roman" w:hAnsi="Times New Roman" w:eastAsia="仿宋_GB2312"/>
            </w:rPr>
            <w:fldChar w:fldCharType="separate"/>
          </w:r>
          <w:r>
            <w:rPr>
              <w:rFonts w:ascii="Times New Roman" w:hAnsi="Times New Roman" w:eastAsia="仿宋_GB2312"/>
            </w:rPr>
            <w:t>35</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"_Toc68612216" </w:instrText>
          </w:r>
          <w:r>
            <w:fldChar w:fldCharType="separate"/>
          </w:r>
          <w:r>
            <w:rPr>
              <w:rStyle w:val="36"/>
              <w:rFonts w:ascii="Times New Roman" w:hAnsi="Times New Roman" w:eastAsia="仿宋_GB2312"/>
            </w:rPr>
            <w:t>3.6.1饮用水水源保护区划分的技术方法符合性分析</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_Toc68612216 \h </w:instrText>
          </w:r>
          <w:r>
            <w:rPr>
              <w:rFonts w:ascii="Times New Roman" w:hAnsi="Times New Roman" w:eastAsia="仿宋_GB2312"/>
            </w:rPr>
            <w:fldChar w:fldCharType="separate"/>
          </w:r>
          <w:r>
            <w:rPr>
              <w:rFonts w:ascii="Times New Roman" w:hAnsi="Times New Roman" w:eastAsia="仿宋_GB2312"/>
            </w:rPr>
            <w:t>36</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"_Toc68612217" </w:instrText>
          </w:r>
          <w:r>
            <w:fldChar w:fldCharType="separate"/>
          </w:r>
          <w:r>
            <w:rPr>
              <w:rStyle w:val="36"/>
              <w:rFonts w:ascii="Times New Roman" w:hAnsi="Times New Roman" w:eastAsia="仿宋_GB2312"/>
            </w:rPr>
            <w:t>3.6.2饮用水水源保护区的划分符合性分析</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_Toc68612217 \h </w:instrText>
          </w:r>
          <w:r>
            <w:rPr>
              <w:rFonts w:ascii="Times New Roman" w:hAnsi="Times New Roman" w:eastAsia="仿宋_GB2312"/>
            </w:rPr>
            <w:fldChar w:fldCharType="separate"/>
          </w:r>
          <w:r>
            <w:rPr>
              <w:rFonts w:ascii="Times New Roman" w:hAnsi="Times New Roman" w:eastAsia="仿宋_GB2312"/>
            </w:rPr>
            <w:t>37</w:t>
          </w:r>
          <w:r>
            <w:rPr>
              <w:rFonts w:ascii="Times New Roman" w:hAnsi="Times New Roman" w:eastAsia="仿宋_GB2312"/>
            </w:rPr>
            <w:fldChar w:fldCharType="end"/>
          </w:r>
          <w:r>
            <w:rPr>
              <w:rFonts w:ascii="Times New Roman" w:hAnsi="Times New Roman" w:eastAsia="仿宋_GB2312"/>
            </w:rPr>
            <w:fldChar w:fldCharType="end"/>
          </w:r>
        </w:p>
        <w:p>
          <w:pPr>
            <w:pStyle w:val="21"/>
            <w:spacing w:line="240" w:lineRule="auto"/>
            <w:rPr>
              <w:rFonts w:eastAsia="仿宋_GB2312"/>
              <w:sz w:val="24"/>
              <w:szCs w:val="24"/>
            </w:rPr>
          </w:pPr>
          <w:r>
            <w:fldChar w:fldCharType="begin"/>
          </w:r>
          <w:r>
            <w:instrText xml:space="preserve"> HYPERLINK \l "_Toc68612218" </w:instrText>
          </w:r>
          <w:r>
            <w:fldChar w:fldCharType="separate"/>
          </w:r>
          <w:r>
            <w:rPr>
              <w:rStyle w:val="36"/>
              <w:rFonts w:eastAsia="仿宋_GB2312"/>
              <w:sz w:val="24"/>
              <w:szCs w:val="24"/>
            </w:rPr>
            <w:t>第四章  环境保护措施及管理建议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_Toc68612218 \h </w:instrText>
          </w:r>
          <w:r>
            <w:rPr>
              <w:rFonts w:eastAsia="仿宋_GB2312"/>
              <w:sz w:val="24"/>
              <w:szCs w:val="24"/>
            </w:rPr>
            <w:fldChar w:fldCharType="separate"/>
          </w:r>
          <w:r>
            <w:rPr>
              <w:rFonts w:eastAsia="仿宋_GB2312"/>
              <w:sz w:val="24"/>
              <w:szCs w:val="24"/>
            </w:rPr>
            <w:t>39</w:t>
          </w:r>
          <w:r>
            <w:rPr>
              <w:rFonts w:eastAsia="仿宋_GB2312"/>
              <w:sz w:val="24"/>
              <w:szCs w:val="24"/>
            </w:rPr>
            <w:fldChar w:fldCharType="end"/>
          </w:r>
          <w:r>
            <w:rPr>
              <w:rFonts w:eastAsia="仿宋_GB2312"/>
              <w:sz w:val="24"/>
              <w:szCs w:val="24"/>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"_Toc68612219" </w:instrText>
          </w:r>
          <w:r>
            <w:fldChar w:fldCharType="separate"/>
          </w:r>
          <w:r>
            <w:rPr>
              <w:rStyle w:val="36"/>
              <w:rFonts w:ascii="Times New Roman" w:hAnsi="Times New Roman" w:eastAsia="仿宋_GB2312"/>
            </w:rPr>
            <w:t>4.1严格落实环境保护要求</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_Toc68612219 \h </w:instrText>
          </w:r>
          <w:r>
            <w:rPr>
              <w:rFonts w:ascii="Times New Roman" w:hAnsi="Times New Roman" w:eastAsia="仿宋_GB2312"/>
            </w:rPr>
            <w:fldChar w:fldCharType="separate"/>
          </w:r>
          <w:r>
            <w:rPr>
              <w:rFonts w:ascii="Times New Roman" w:hAnsi="Times New Roman" w:eastAsia="仿宋_GB2312"/>
            </w:rPr>
            <w:t>39</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"_Toc68612220" </w:instrText>
          </w:r>
          <w:r>
            <w:fldChar w:fldCharType="separate"/>
          </w:r>
          <w:r>
            <w:rPr>
              <w:rStyle w:val="36"/>
              <w:rFonts w:ascii="Times New Roman" w:hAnsi="Times New Roman" w:eastAsia="仿宋_GB2312"/>
            </w:rPr>
            <w:t>4.1.1严格落实饮用水水源保护区法律法规要求</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_Toc68612220 \h </w:instrText>
          </w:r>
          <w:r>
            <w:rPr>
              <w:rFonts w:ascii="Times New Roman" w:hAnsi="Times New Roman" w:eastAsia="仿宋_GB2312"/>
            </w:rPr>
            <w:fldChar w:fldCharType="separate"/>
          </w:r>
          <w:r>
            <w:rPr>
              <w:rFonts w:ascii="Times New Roman" w:hAnsi="Times New Roman" w:eastAsia="仿宋_GB2312"/>
            </w:rPr>
            <w:t>39</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"_Toc68612221" </w:instrText>
          </w:r>
          <w:r>
            <w:fldChar w:fldCharType="separate"/>
          </w:r>
          <w:r>
            <w:rPr>
              <w:rStyle w:val="36"/>
              <w:rFonts w:ascii="Times New Roman" w:hAnsi="Times New Roman" w:eastAsia="仿宋_GB2312"/>
            </w:rPr>
            <w:t>4.1.2严格遵守生态红线管控制度</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_Toc68612221 \h </w:instrText>
          </w:r>
          <w:r>
            <w:rPr>
              <w:rFonts w:ascii="Times New Roman" w:hAnsi="Times New Roman" w:eastAsia="仿宋_GB2312"/>
            </w:rPr>
            <w:fldChar w:fldCharType="separate"/>
          </w:r>
          <w:r>
            <w:rPr>
              <w:rFonts w:ascii="Times New Roman" w:hAnsi="Times New Roman" w:eastAsia="仿宋_GB2312"/>
            </w:rPr>
            <w:t>39</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"_Toc68612222" </w:instrText>
          </w:r>
          <w:r>
            <w:fldChar w:fldCharType="separate"/>
          </w:r>
          <w:r>
            <w:rPr>
              <w:rStyle w:val="36"/>
              <w:rFonts w:ascii="Times New Roman" w:hAnsi="Times New Roman" w:eastAsia="仿宋_GB2312"/>
            </w:rPr>
            <w:t>4.1.3落实乡镇属地管理制度</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_Toc68612222 \h </w:instrText>
          </w:r>
          <w:r>
            <w:rPr>
              <w:rFonts w:ascii="Times New Roman" w:hAnsi="Times New Roman" w:eastAsia="仿宋_GB2312"/>
            </w:rPr>
            <w:fldChar w:fldCharType="separate"/>
          </w:r>
          <w:r>
            <w:rPr>
              <w:rFonts w:ascii="Times New Roman" w:hAnsi="Times New Roman" w:eastAsia="仿宋_GB2312"/>
            </w:rPr>
            <w:t>39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"_Toc68612223" </w:instrText>
          </w:r>
          <w:r>
            <w:fldChar w:fldCharType="separate"/>
          </w:r>
          <w:r>
            <w:rPr>
              <w:rStyle w:val="36"/>
              <w:rFonts w:ascii="Times New Roman" w:hAnsi="Times New Roman" w:eastAsia="仿宋_GB2312"/>
            </w:rPr>
            <w:t>4.2 开展饮用水源保护区规范化建设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_Toc68612223 \h </w:instrText>
          </w:r>
          <w:r>
            <w:rPr>
              <w:rFonts w:ascii="Times New Roman" w:hAnsi="Times New Roman" w:eastAsia="仿宋_GB2312"/>
            </w:rPr>
            <w:fldChar w:fldCharType="separate"/>
          </w:r>
          <w:r>
            <w:rPr>
              <w:rFonts w:ascii="Times New Roman" w:hAnsi="Times New Roman" w:eastAsia="仿宋_GB2312"/>
            </w:rPr>
            <w:t>40</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"_Toc68612224" </w:instrText>
          </w:r>
          <w:r>
            <w:fldChar w:fldCharType="separate"/>
          </w:r>
          <w:r>
            <w:rPr>
              <w:rStyle w:val="36"/>
              <w:rFonts w:ascii="Times New Roman" w:hAnsi="Times New Roman" w:eastAsia="仿宋_GB2312"/>
            </w:rPr>
            <w:t>4.2.1强化保护区标志设置</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_Toc68612224 \h </w:instrText>
          </w:r>
          <w:r>
            <w:rPr>
              <w:rFonts w:ascii="Times New Roman" w:hAnsi="Times New Roman" w:eastAsia="仿宋_GB2312"/>
            </w:rPr>
            <w:fldChar w:fldCharType="separate"/>
          </w:r>
          <w:r>
            <w:rPr>
              <w:rFonts w:ascii="Times New Roman" w:hAnsi="Times New Roman" w:eastAsia="仿宋_GB2312"/>
            </w:rPr>
            <w:t>40</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"_Toc68612225" </w:instrText>
          </w:r>
          <w:r>
            <w:fldChar w:fldCharType="separate"/>
          </w:r>
          <w:r>
            <w:rPr>
              <w:rStyle w:val="36"/>
              <w:rFonts w:ascii="Times New Roman" w:hAnsi="Times New Roman" w:eastAsia="仿宋_GB2312"/>
            </w:rPr>
            <w:t>4.2.2强化保护区隔离防护</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_Toc68612225 \h </w:instrText>
          </w:r>
          <w:r>
            <w:rPr>
              <w:rFonts w:ascii="Times New Roman" w:hAnsi="Times New Roman" w:eastAsia="仿宋_GB2312"/>
            </w:rPr>
            <w:fldChar w:fldCharType="separate"/>
          </w:r>
          <w:r>
            <w:rPr>
              <w:rFonts w:ascii="Times New Roman" w:hAnsi="Times New Roman" w:eastAsia="仿宋_GB2312"/>
            </w:rPr>
            <w:t>42</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"_Toc68612226" </w:instrText>
          </w:r>
          <w:r>
            <w:fldChar w:fldCharType="separate"/>
          </w:r>
          <w:r>
            <w:rPr>
              <w:rStyle w:val="36"/>
              <w:rFonts w:ascii="Times New Roman" w:hAnsi="Times New Roman" w:eastAsia="仿宋_GB2312"/>
            </w:rPr>
            <w:t>4.2.3 交通穿越区域防护要求</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_Toc68612226 \h </w:instrText>
          </w:r>
          <w:r>
            <w:rPr>
              <w:rFonts w:ascii="Times New Roman" w:hAnsi="Times New Roman" w:eastAsia="仿宋_GB2312"/>
            </w:rPr>
            <w:fldChar w:fldCharType="separate"/>
          </w:r>
          <w:r>
            <w:rPr>
              <w:rFonts w:ascii="Times New Roman" w:hAnsi="Times New Roman" w:eastAsia="仿宋_GB2312"/>
            </w:rPr>
            <w:t>43</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"_Toc68612227" </w:instrText>
          </w:r>
          <w:r>
            <w:fldChar w:fldCharType="separate"/>
          </w:r>
          <w:r>
            <w:rPr>
              <w:rStyle w:val="36"/>
              <w:rFonts w:ascii="Times New Roman" w:hAnsi="Times New Roman" w:eastAsia="仿宋_GB2312"/>
            </w:rPr>
            <w:t>4.3加强饮用水源保护区污染防治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_Toc68612227 \h </w:instrText>
          </w:r>
          <w:r>
            <w:rPr>
              <w:rFonts w:ascii="Times New Roman" w:hAnsi="Times New Roman" w:eastAsia="仿宋_GB2312"/>
            </w:rPr>
            <w:fldChar w:fldCharType="separate"/>
          </w:r>
          <w:r>
            <w:rPr>
              <w:rFonts w:ascii="Times New Roman" w:hAnsi="Times New Roman" w:eastAsia="仿宋_GB2312"/>
            </w:rPr>
            <w:t>44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"_Toc68612228" </w:instrText>
          </w:r>
          <w:r>
            <w:fldChar w:fldCharType="separate"/>
          </w:r>
          <w:r>
            <w:rPr>
              <w:rStyle w:val="36"/>
              <w:rFonts w:ascii="Times New Roman" w:hAnsi="Times New Roman" w:eastAsia="仿宋_GB2312"/>
            </w:rPr>
            <w:t>4.3.1 强化点源污染治理</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_Toc68612228 \h </w:instrText>
          </w:r>
          <w:r>
            <w:rPr>
              <w:rFonts w:ascii="Times New Roman" w:hAnsi="Times New Roman" w:eastAsia="仿宋_GB2312"/>
            </w:rPr>
            <w:fldChar w:fldCharType="separate"/>
          </w:r>
          <w:r>
            <w:rPr>
              <w:rFonts w:ascii="Times New Roman" w:hAnsi="Times New Roman" w:eastAsia="仿宋_GB2312"/>
            </w:rPr>
            <w:t>44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"_Toc68612229" </w:instrText>
          </w:r>
          <w:r>
            <w:fldChar w:fldCharType="separate"/>
          </w:r>
          <w:r>
            <w:rPr>
              <w:rStyle w:val="36"/>
              <w:rFonts w:ascii="Times New Roman" w:hAnsi="Times New Roman" w:eastAsia="仿宋_GB2312"/>
            </w:rPr>
            <w:t>4.3.2 落实农业面源污染防治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_Toc68612229 \h </w:instrText>
          </w:r>
          <w:r>
            <w:rPr>
              <w:rFonts w:ascii="Times New Roman" w:hAnsi="Times New Roman" w:eastAsia="仿宋_GB2312"/>
            </w:rPr>
            <w:fldChar w:fldCharType="separate"/>
          </w:r>
          <w:r>
            <w:rPr>
              <w:rFonts w:ascii="Times New Roman" w:hAnsi="Times New Roman" w:eastAsia="仿宋_GB2312"/>
            </w:rPr>
            <w:t>44</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"_Toc68612230" </w:instrText>
          </w:r>
          <w:r>
            <w:fldChar w:fldCharType="separate"/>
          </w:r>
          <w:r>
            <w:rPr>
              <w:rStyle w:val="36"/>
              <w:rFonts w:ascii="Times New Roman" w:hAnsi="Times New Roman" w:eastAsia="仿宋_GB2312"/>
            </w:rPr>
            <w:t>4.3.3 开展生活污染防治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_Toc68612230 \h </w:instrText>
          </w:r>
          <w:r>
            <w:rPr>
              <w:rFonts w:ascii="Times New Roman" w:hAnsi="Times New Roman" w:eastAsia="仿宋_GB2312"/>
            </w:rPr>
            <w:fldChar w:fldCharType="separate"/>
          </w:r>
          <w:r>
            <w:rPr>
              <w:rFonts w:ascii="Times New Roman" w:hAnsi="Times New Roman" w:eastAsia="仿宋_GB2312"/>
            </w:rPr>
            <w:t>45</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"_Toc68612231" </w:instrText>
          </w:r>
          <w:r>
            <w:fldChar w:fldCharType="separate"/>
          </w:r>
          <w:r>
            <w:rPr>
              <w:rStyle w:val="36"/>
              <w:rFonts w:ascii="Times New Roman" w:hAnsi="Times New Roman" w:eastAsia="仿宋_GB2312"/>
            </w:rPr>
            <w:t>4.3.4 强化流动源管理</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_Toc68612231 \h </w:instrText>
          </w:r>
          <w:r>
            <w:rPr>
              <w:rFonts w:ascii="Times New Roman" w:hAnsi="Times New Roman" w:eastAsia="仿宋_GB2312"/>
            </w:rPr>
            <w:fldChar w:fldCharType="separate"/>
          </w:r>
          <w:r>
            <w:rPr>
              <w:rFonts w:ascii="Times New Roman" w:hAnsi="Times New Roman" w:eastAsia="仿宋_GB2312"/>
            </w:rPr>
            <w:t>45</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"_Toc68612232" </w:instrText>
          </w:r>
          <w:r>
            <w:fldChar w:fldCharType="separate"/>
          </w:r>
          <w:r>
            <w:rPr>
              <w:rStyle w:val="36"/>
              <w:rFonts w:ascii="Times New Roman" w:hAnsi="Times New Roman" w:eastAsia="仿宋_GB2312"/>
            </w:rPr>
            <w:t>4.4 完善环境预警监控体系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_Toc68612232 \h </w:instrText>
          </w:r>
          <w:r>
            <w:rPr>
              <w:rFonts w:ascii="Times New Roman" w:hAnsi="Times New Roman" w:eastAsia="仿宋_GB2312"/>
            </w:rPr>
            <w:fldChar w:fldCharType="separate"/>
          </w:r>
          <w:r>
            <w:rPr>
              <w:rFonts w:ascii="Times New Roman" w:hAnsi="Times New Roman" w:eastAsia="仿宋_GB2312"/>
            </w:rPr>
            <w:t>48</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"_Toc68612233" </w:instrText>
          </w:r>
          <w:r>
            <w:fldChar w:fldCharType="separate"/>
          </w:r>
          <w:r>
            <w:rPr>
              <w:rStyle w:val="36"/>
              <w:rFonts w:ascii="Times New Roman" w:hAnsi="Times New Roman" w:eastAsia="仿宋_GB2312"/>
            </w:rPr>
            <w:t>4.4.1 完善监测体系</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_Toc68612233 \h </w:instrText>
          </w:r>
          <w:r>
            <w:rPr>
              <w:rFonts w:ascii="Times New Roman" w:hAnsi="Times New Roman" w:eastAsia="仿宋_GB2312"/>
            </w:rPr>
            <w:fldChar w:fldCharType="separate"/>
          </w:r>
          <w:r>
            <w:rPr>
              <w:rFonts w:ascii="Times New Roman" w:hAnsi="Times New Roman" w:eastAsia="仿宋_GB2312"/>
            </w:rPr>
            <w:t>48</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"_Toc68612234" </w:instrText>
          </w:r>
          <w:r>
            <w:fldChar w:fldCharType="separate"/>
          </w:r>
          <w:r>
            <w:rPr>
              <w:rStyle w:val="36"/>
              <w:rFonts w:ascii="Times New Roman" w:hAnsi="Times New Roman" w:eastAsia="仿宋_GB2312"/>
            </w:rPr>
            <w:t>4.4.2 提高监管能力</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_Toc68612234 \h </w:instrText>
          </w:r>
          <w:r>
            <w:rPr>
              <w:rFonts w:ascii="Times New Roman" w:hAnsi="Times New Roman" w:eastAsia="仿宋_GB2312"/>
            </w:rPr>
            <w:fldChar w:fldCharType="separate"/>
          </w:r>
          <w:r>
            <w:rPr>
              <w:rFonts w:ascii="Times New Roman" w:hAnsi="Times New Roman" w:eastAsia="仿宋_GB2312"/>
            </w:rPr>
            <w:t>48</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"_Toc68612235" </w:instrText>
          </w:r>
          <w:r>
            <w:fldChar w:fldCharType="separate"/>
          </w:r>
          <w:r>
            <w:rPr>
              <w:rStyle w:val="36"/>
              <w:rFonts w:ascii="Times New Roman" w:hAnsi="Times New Roman" w:eastAsia="仿宋_GB2312"/>
            </w:rPr>
            <w:t>4.4.3 完善“一源一档”</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_Toc68612235 \h </w:instrText>
          </w:r>
          <w:r>
            <w:rPr>
              <w:rFonts w:ascii="Times New Roman" w:hAnsi="Times New Roman" w:eastAsia="仿宋_GB2312"/>
            </w:rPr>
            <w:fldChar w:fldCharType="separate"/>
          </w:r>
          <w:r>
            <w:rPr>
              <w:rFonts w:ascii="Times New Roman" w:hAnsi="Times New Roman" w:eastAsia="仿宋_GB2312"/>
            </w:rPr>
            <w:t>49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"_Toc68612236" </w:instrText>
          </w:r>
          <w:r>
            <w:fldChar w:fldCharType="separate"/>
          </w:r>
          <w:r>
            <w:rPr>
              <w:rStyle w:val="36"/>
              <w:rFonts w:ascii="Times New Roman" w:hAnsi="Times New Roman" w:eastAsia="仿宋_GB2312"/>
            </w:rPr>
            <w:t>4.5加强环境风险防范与控制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_Toc68612236 \h </w:instrText>
          </w:r>
          <w:r>
            <w:rPr>
              <w:rFonts w:ascii="Times New Roman" w:hAnsi="Times New Roman" w:eastAsia="仿宋_GB2312"/>
            </w:rPr>
            <w:fldChar w:fldCharType="separate"/>
          </w:r>
          <w:r>
            <w:rPr>
              <w:rFonts w:ascii="Times New Roman" w:hAnsi="Times New Roman" w:eastAsia="仿宋_GB2312"/>
            </w:rPr>
            <w:t>49</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"_Toc68612237" </w:instrText>
          </w:r>
          <w:r>
            <w:fldChar w:fldCharType="separate"/>
          </w:r>
          <w:r>
            <w:rPr>
              <w:rStyle w:val="36"/>
              <w:rFonts w:ascii="Times New Roman" w:hAnsi="Times New Roman" w:eastAsia="仿宋_GB2312"/>
            </w:rPr>
            <w:t>4.5.1预防蓝藻爆发</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_Toc68612237 \h </w:instrText>
          </w:r>
          <w:r>
            <w:rPr>
              <w:rFonts w:ascii="Times New Roman" w:hAnsi="Times New Roman" w:eastAsia="仿宋_GB2312"/>
            </w:rPr>
            <w:fldChar w:fldCharType="separate"/>
          </w:r>
          <w:r>
            <w:rPr>
              <w:rFonts w:ascii="Times New Roman" w:hAnsi="Times New Roman" w:eastAsia="仿宋_GB2312"/>
            </w:rPr>
            <w:t>49</w:t>
          </w:r>
          <w:r>
            <w:rPr>
              <w:rFonts w:ascii="Times New Roman" w:hAnsi="Times New Roman" w:eastAsia="仿宋_GB2312"/>
            </w:rPr>
            <w:fldChar w:fldCharType="end"/>
          </w:r>
          <w:r>
            <w:rPr>
              <w:rFonts w:ascii="Times New Roman" w:hAnsi="Times New Roman" w:eastAsia="仿宋_GB2312"/>
            </w:rPr>
            <w:fldChar w:fldCharType="end"/>
          </w:r>
        </w:p>
        <w:p>
          <w:pPr>
            <w:pStyle w:val="14"/>
            <w:tabs>
              <w:tab w:val="right" w:leader="dot" w:pos="8302"/>
            </w:tabs>
            <w:spacing w:line="240" w:lineRule="auto"/>
            <w:ind w:left="960" w:firstLine="480"/>
            <w:rPr>
              <w:rFonts w:ascii="Times New Roman" w:hAnsi="Times New Roman" w:eastAsia="仿宋_GB2312"/>
            </w:rPr>
          </w:pPr>
          <w:r>
            <w:fldChar w:fldCharType="begin"/>
          </w:r>
          <w:r>
            <w:instrText xml:space="preserve"> HYPERLINK \l "_Toc68612238" </w:instrText>
          </w:r>
          <w:r>
            <w:fldChar w:fldCharType="separate"/>
          </w:r>
          <w:r>
            <w:rPr>
              <w:rStyle w:val="36"/>
              <w:rFonts w:ascii="Times New Roman" w:hAnsi="Times New Roman" w:eastAsia="仿宋_GB2312"/>
            </w:rPr>
            <w:t>4.5.2制定风险事故应急计划</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_Toc68612238 \h </w:instrText>
          </w:r>
          <w:r>
            <w:rPr>
              <w:rFonts w:ascii="Times New Roman" w:hAnsi="Times New Roman" w:eastAsia="仿宋_GB2312"/>
            </w:rPr>
            <w:fldChar w:fldCharType="separate"/>
          </w:r>
          <w:r>
            <w:rPr>
              <w:rFonts w:ascii="Times New Roman" w:hAnsi="Times New Roman" w:eastAsia="仿宋_GB2312"/>
            </w:rPr>
            <w:t>49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"_Toc68612239" </w:instrText>
          </w:r>
          <w:r>
            <w:fldChar w:fldCharType="separate"/>
          </w:r>
          <w:r>
            <w:rPr>
              <w:rStyle w:val="36"/>
              <w:rFonts w:ascii="Times New Roman" w:hAnsi="Times New Roman" w:eastAsia="仿宋_GB2312"/>
            </w:rPr>
            <w:t>4.6加强环境宣传教育</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_Toc68612239 \h </w:instrText>
          </w:r>
          <w:r>
            <w:rPr>
              <w:rFonts w:ascii="Times New Roman" w:hAnsi="Times New Roman" w:eastAsia="仿宋_GB2312"/>
            </w:rPr>
            <w:fldChar w:fldCharType="separate"/>
          </w:r>
          <w:r>
            <w:rPr>
              <w:rFonts w:ascii="Times New Roman" w:hAnsi="Times New Roman" w:eastAsia="仿宋_GB2312"/>
            </w:rPr>
            <w:t>50</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"_Toc68612240" </w:instrText>
          </w:r>
          <w:r>
            <w:fldChar w:fldCharType="separate"/>
          </w:r>
          <w:r>
            <w:rPr>
              <w:rStyle w:val="36"/>
              <w:rFonts w:ascii="Times New Roman" w:hAnsi="Times New Roman" w:eastAsia="仿宋_GB2312"/>
            </w:rPr>
            <w:t>附表1  临安区“千吨万人”饮用水水源保护区范围汇总表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_Toc68612240 \h </w:instrText>
          </w:r>
          <w:r>
            <w:rPr>
              <w:rFonts w:ascii="Times New Roman" w:hAnsi="Times New Roman" w:eastAsia="仿宋_GB2312"/>
            </w:rPr>
            <w:fldChar w:fldCharType="separate"/>
          </w:r>
          <w:r>
            <w:rPr>
              <w:rFonts w:ascii="Times New Roman" w:hAnsi="Times New Roman" w:eastAsia="仿宋_GB2312"/>
            </w:rPr>
            <w:t>51</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"_Toc68612241" </w:instrText>
          </w:r>
          <w:r>
            <w:fldChar w:fldCharType="separate"/>
          </w:r>
          <w:r>
            <w:rPr>
              <w:rStyle w:val="36"/>
              <w:rFonts w:ascii="Times New Roman" w:hAnsi="Times New Roman" w:eastAsia="仿宋_GB2312"/>
              <w:smallCaps/>
            </w:rPr>
            <w:t>附表2  临安区龙岗镇华光潭一级水库饮用水水源保护区信息登记表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_Toc68612241 \h </w:instrText>
          </w:r>
          <w:r>
            <w:rPr>
              <w:rFonts w:ascii="Times New Roman" w:hAnsi="Times New Roman" w:eastAsia="仿宋_GB2312"/>
            </w:rPr>
            <w:fldChar w:fldCharType="separate"/>
          </w:r>
          <w:r>
            <w:rPr>
              <w:rFonts w:ascii="Times New Roman" w:hAnsi="Times New Roman" w:eastAsia="仿宋_GB2312"/>
            </w:rPr>
            <w:t>53</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"_Toc68612242" </w:instrText>
          </w:r>
          <w:r>
            <w:fldChar w:fldCharType="separate"/>
          </w:r>
          <w:r>
            <w:rPr>
              <w:rStyle w:val="36"/>
              <w:rFonts w:ascii="Times New Roman" w:hAnsi="Times New Roman" w:eastAsia="仿宋_GB2312"/>
              <w:smallCaps/>
            </w:rPr>
            <w:t>附表3  临安区板桥镇居仁水库饮用水水源保护区信息登记表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_Toc68612242 \h </w:instrText>
          </w:r>
          <w:r>
            <w:rPr>
              <w:rFonts w:ascii="Times New Roman" w:hAnsi="Times New Roman" w:eastAsia="仿宋_GB2312"/>
            </w:rPr>
            <w:fldChar w:fldCharType="separate"/>
          </w:r>
          <w:r>
            <w:rPr>
              <w:rFonts w:ascii="Times New Roman" w:hAnsi="Times New Roman" w:eastAsia="仿宋_GB2312"/>
            </w:rPr>
            <w:t>55</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"_Toc68612243" </w:instrText>
          </w:r>
          <w:r>
            <w:fldChar w:fldCharType="separate"/>
          </w:r>
          <w:r>
            <w:rPr>
              <w:rStyle w:val="36"/>
              <w:rFonts w:ascii="Times New Roman" w:hAnsi="Times New Roman" w:eastAsia="仿宋_GB2312"/>
              <w:smallCaps/>
            </w:rPr>
            <w:t>附表4  临安区河桥镇江岭水库饮用水水源保护区信息登记表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_Toc68612243 \h </w:instrText>
          </w:r>
          <w:r>
            <w:rPr>
              <w:rFonts w:ascii="Times New Roman" w:hAnsi="Times New Roman" w:eastAsia="仿宋_GB2312"/>
            </w:rPr>
            <w:fldChar w:fldCharType="separate"/>
          </w:r>
          <w:r>
            <w:rPr>
              <w:rFonts w:ascii="Times New Roman" w:hAnsi="Times New Roman" w:eastAsia="仿宋_GB2312"/>
            </w:rPr>
            <w:t>57</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"_Toc68612244" </w:instrText>
          </w:r>
          <w:r>
            <w:fldChar w:fldCharType="separate"/>
          </w:r>
          <w:r>
            <w:rPr>
              <w:rStyle w:val="36"/>
              <w:rFonts w:ascii="Times New Roman" w:hAnsi="Times New Roman" w:eastAsia="仿宋_GB2312"/>
              <w:smallCaps/>
            </w:rPr>
            <w:t>附表5  临安区岛石镇喷洞水库饮用水水源保护区信息登记表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_Toc68612244 \h </w:instrText>
          </w:r>
          <w:r>
            <w:rPr>
              <w:rFonts w:ascii="Times New Roman" w:hAnsi="Times New Roman" w:eastAsia="仿宋_GB2312"/>
            </w:rPr>
            <w:fldChar w:fldCharType="separate"/>
          </w:r>
          <w:r>
            <w:rPr>
              <w:rFonts w:ascii="Times New Roman" w:hAnsi="Times New Roman" w:eastAsia="仿宋_GB2312"/>
            </w:rPr>
            <w:t>59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"_Toc68612245" </w:instrText>
          </w:r>
          <w:r>
            <w:fldChar w:fldCharType="separate"/>
          </w:r>
          <w:r>
            <w:rPr>
              <w:rStyle w:val="36"/>
              <w:rFonts w:ascii="Times New Roman" w:hAnsi="Times New Roman" w:eastAsia="仿宋_GB2312"/>
              <w:smallCaps/>
            </w:rPr>
            <w:t>附表6  临安区太湖源镇夏村水库饮用水水源保护区信息登记表</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_Toc68612245 \h </w:instrText>
          </w:r>
          <w:r>
            <w:rPr>
              <w:rFonts w:ascii="Times New Roman" w:hAnsi="Times New Roman" w:eastAsia="仿宋_GB2312"/>
            </w:rPr>
            <w:fldChar w:fldCharType="separate"/>
          </w:r>
          <w:r>
            <w:rPr>
              <w:rFonts w:ascii="Times New Roman" w:hAnsi="Times New Roman" w:eastAsia="仿宋_GB2312"/>
            </w:rPr>
            <w:t>61</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"_Toc68612246" </w:instrText>
          </w:r>
          <w:r>
            <w:fldChar w:fldCharType="separate"/>
          </w:r>
          <w:r>
            <w:rPr>
              <w:rStyle w:val="36"/>
              <w:rFonts w:ascii="Times New Roman" w:hAnsi="Times New Roman" w:eastAsia="仿宋_GB2312"/>
              <w:smallCaps/>
            </w:rPr>
            <w:t>附图1  临安区龙岗镇华光潭一级水库饮用水水源保护区范围示意图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_Toc68612246 \h </w:instrText>
          </w:r>
          <w:r>
            <w:rPr>
              <w:rFonts w:ascii="Times New Roman" w:hAnsi="Times New Roman" w:eastAsia="仿宋_GB2312"/>
            </w:rPr>
            <w:fldChar w:fldCharType="separate"/>
          </w:r>
          <w:r>
            <w:rPr>
              <w:rFonts w:ascii="Times New Roman" w:hAnsi="Times New Roman" w:eastAsia="仿宋_GB2312"/>
            </w:rPr>
            <w:t>63</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"_Toc68612247" </w:instrText>
          </w:r>
          <w:r>
            <w:fldChar w:fldCharType="separate"/>
          </w:r>
          <w:r>
            <w:rPr>
              <w:rStyle w:val="36"/>
              <w:rFonts w:ascii="Times New Roman" w:hAnsi="Times New Roman" w:eastAsia="仿宋_GB2312"/>
              <w:smallCaps/>
            </w:rPr>
            <w:t>附图2  临安区板桥镇居仁水库饮用水水源保护区范围示意图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_Toc68612247 \h </w:instrText>
          </w:r>
          <w:r>
            <w:rPr>
              <w:rFonts w:ascii="Times New Roman" w:hAnsi="Times New Roman" w:eastAsia="仿宋_GB2312"/>
            </w:rPr>
            <w:fldChar w:fldCharType="separate"/>
          </w:r>
          <w:r>
            <w:rPr>
              <w:rFonts w:ascii="Times New Roman" w:hAnsi="Times New Roman" w:eastAsia="仿宋_GB2312"/>
            </w:rPr>
            <w:t>64</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"_Toc68612248" </w:instrText>
          </w:r>
          <w:r>
            <w:fldChar w:fldCharType="separate"/>
          </w:r>
          <w:r>
            <w:rPr>
              <w:rStyle w:val="36"/>
              <w:rFonts w:ascii="Times New Roman" w:hAnsi="Times New Roman" w:eastAsia="仿宋_GB2312"/>
              <w:smallCaps/>
            </w:rPr>
            <w:t>附图3  临安区河桥镇江岭水库饮用水水源保护区范围示意图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_Toc68612248 \h </w:instrText>
          </w:r>
          <w:r>
            <w:rPr>
              <w:rFonts w:ascii="Times New Roman" w:hAnsi="Times New Roman" w:eastAsia="仿宋_GB2312"/>
            </w:rPr>
            <w:fldChar w:fldCharType="separate"/>
          </w:r>
          <w:r>
            <w:rPr>
              <w:rFonts w:ascii="Times New Roman" w:hAnsi="Times New Roman" w:eastAsia="仿宋_GB2312"/>
            </w:rPr>
            <w:t>65</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"_Toc68612249" </w:instrText>
          </w:r>
          <w:r>
            <w:fldChar w:fldCharType="separate"/>
          </w:r>
          <w:r>
            <w:rPr>
              <w:rStyle w:val="36"/>
              <w:rFonts w:ascii="Times New Roman" w:hAnsi="Times New Roman" w:eastAsia="仿宋_GB2312"/>
              <w:smallCaps/>
            </w:rPr>
            <w:t>附图4  临安区岛石镇喷洞水库饮用水水源保护区范围示意图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_Toc68612249 \h </w:instrText>
          </w:r>
          <w:r>
            <w:rPr>
              <w:rFonts w:ascii="Times New Roman" w:hAnsi="Times New Roman" w:eastAsia="仿宋_GB2312"/>
            </w:rPr>
            <w:fldChar w:fldCharType="separate"/>
          </w:r>
          <w:r>
            <w:rPr>
              <w:rFonts w:ascii="Times New Roman" w:hAnsi="Times New Roman" w:eastAsia="仿宋_GB2312"/>
            </w:rPr>
            <w:t>66</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"_Toc68612250" </w:instrText>
          </w:r>
          <w:r>
            <w:fldChar w:fldCharType="separate"/>
          </w:r>
          <w:r>
            <w:rPr>
              <w:rStyle w:val="36"/>
              <w:rFonts w:ascii="Times New Roman" w:hAnsi="Times New Roman" w:eastAsia="仿宋_GB2312"/>
              <w:smallCaps/>
            </w:rPr>
            <w:t>附图5  临安区太湖源镇夏村水库饮用水水源保护区范围示意图</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_Toc68612250 \h </w:instrText>
          </w:r>
          <w:r>
            <w:rPr>
              <w:rFonts w:ascii="Times New Roman" w:hAnsi="Times New Roman" w:eastAsia="仿宋_GB2312"/>
            </w:rPr>
            <w:fldChar w:fldCharType="separate"/>
          </w:r>
          <w:r>
            <w:rPr>
              <w:rFonts w:ascii="Times New Roman" w:hAnsi="Times New Roman" w:eastAsia="仿宋_GB2312"/>
            </w:rPr>
            <w:t>67</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"_Toc68612251" </w:instrText>
          </w:r>
          <w:r>
            <w:fldChar w:fldCharType="separate"/>
          </w:r>
          <w:r>
            <w:rPr>
              <w:rStyle w:val="36"/>
              <w:rFonts w:ascii="Times New Roman" w:hAnsi="Times New Roman" w:eastAsia="仿宋_GB2312"/>
            </w:rPr>
            <w:t>附件1  专家评审意见</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_Toc68612251 \h </w:instrText>
          </w:r>
          <w:r>
            <w:rPr>
              <w:rFonts w:ascii="Times New Roman" w:hAnsi="Times New Roman" w:eastAsia="仿宋_GB2312"/>
            </w:rPr>
            <w:fldChar w:fldCharType="separate"/>
          </w:r>
          <w:r>
            <w:rPr>
              <w:rFonts w:ascii="Times New Roman" w:hAnsi="Times New Roman" w:eastAsia="仿宋_GB2312"/>
            </w:rPr>
            <w:t>68</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"_Toc68612252" </w:instrText>
          </w:r>
          <w:r>
            <w:fldChar w:fldCharType="separate"/>
          </w:r>
          <w:r>
            <w:rPr>
              <w:rStyle w:val="36"/>
              <w:rFonts w:ascii="Times New Roman" w:hAnsi="Times New Roman" w:eastAsia="仿宋_GB2312"/>
            </w:rPr>
            <w:t>附件2  专家签到单</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_Toc68612252 \h </w:instrText>
          </w:r>
          <w:r>
            <w:rPr>
              <w:rFonts w:ascii="Times New Roman" w:hAnsi="Times New Roman" w:eastAsia="仿宋_GB2312"/>
            </w:rPr>
            <w:fldChar w:fldCharType="separate"/>
          </w:r>
          <w:r>
            <w:rPr>
              <w:rFonts w:ascii="Times New Roman" w:hAnsi="Times New Roman" w:eastAsia="仿宋_GB2312"/>
            </w:rPr>
            <w:t>69</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imes New Roman" w:hAnsi="Times New Roman" w:eastAsia="仿宋_GB2312"/>
            </w:rPr>
          </w:pPr>
          <w:r>
            <w:fldChar w:fldCharType="begin"/>
          </w:r>
          <w:r>
            <w:instrText xml:space="preserve"> HYPERLINK \l "_Toc68612253" </w:instrText>
          </w:r>
          <w:r>
            <w:fldChar w:fldCharType="separate"/>
          </w:r>
          <w:r>
            <w:rPr>
              <w:rStyle w:val="36"/>
              <w:rFonts w:ascii="Times New Roman" w:hAnsi="Times New Roman" w:eastAsia="仿宋_GB2312"/>
            </w:rPr>
            <w:t>附件3  部门意见</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_Toc68612253 \h </w:instrText>
          </w:r>
          <w:r>
            <w:rPr>
              <w:rFonts w:ascii="Times New Roman" w:hAnsi="Times New Roman" w:eastAsia="仿宋_GB2312"/>
            </w:rPr>
            <w:fldChar w:fldCharType="separate"/>
          </w:r>
          <w:r>
            <w:rPr>
              <w:rFonts w:ascii="Times New Roman" w:hAnsi="Times New Roman" w:eastAsia="仿宋_GB2312"/>
            </w:rPr>
            <w:t>70</w:t>
          </w:r>
          <w:r>
            <w:rPr>
              <w:rFonts w:ascii="Times New Roman" w:hAnsi="Times New Roman" w:eastAsia="仿宋_GB2312"/>
            </w:rPr>
            <w:fldChar w:fldCharType="end"/>
          </w:r>
          <w:r>
            <w:rPr>
              <w:rFonts w:ascii="Times New Roman" w:hAnsi="Times New Roman" w:eastAsia="仿宋_GB2312"/>
            </w:rPr>
            <w:fldChar w:fldCharType="end"/>
          </w:r>
        </w:p>
        <w:p>
          <w:pPr>
            <w:pStyle w:val="26"/>
            <w:tabs>
              <w:tab w:val="right" w:leader="dot" w:pos="8302"/>
            </w:tabs>
            <w:spacing w:line="240" w:lineRule="auto"/>
            <w:ind w:left="480" w:firstLine="480"/>
            <w:rPr>
              <w:rFonts w:asciiTheme="minorHAnsi" w:hAnsiTheme="minorHAnsi" w:eastAsiaTheme="minorEastAsia" w:cstheme="minorBidi"/>
              <w:sz w:val="21"/>
              <w:szCs w:val="22"/>
            </w:rPr>
          </w:pPr>
          <w:r>
            <w:fldChar w:fldCharType="begin"/>
          </w:r>
          <w:r>
            <w:instrText xml:space="preserve"> HYPERLINK \l "_Toc68612254" </w:instrText>
          </w:r>
          <w:r>
            <w:fldChar w:fldCharType="separate"/>
          </w:r>
          <w:r>
            <w:rPr>
              <w:rStyle w:val="36"/>
              <w:rFonts w:ascii="Times New Roman" w:hAnsi="Times New Roman" w:eastAsia="仿宋_GB2312"/>
            </w:rPr>
            <w:t>附件4  仙人塘水厂环评批复文件</w:t>
          </w:r>
          <w:r>
            <w:rPr>
              <w:rFonts w:ascii="Times New Roman" w:hAnsi="Times New Roman" w:eastAsia="仿宋_GB2312"/>
            </w:rPr>
            <w:tab/>
          </w:r>
          <w:r>
            <w:rPr>
              <w:rFonts w:ascii="Times New Roman" w:hAnsi="Times New Roman" w:eastAsia="仿宋_GB2312"/>
            </w:rPr>
            <w:fldChar w:fldCharType="begin"/>
          </w:r>
          <w:r>
            <w:rPr>
              <w:rFonts w:ascii="Times New Roman" w:hAnsi="Times New Roman" w:eastAsia="仿宋_GB2312"/>
            </w:rPr>
            <w:instrText xml:space="preserve"> PAGEREF _Toc68612254 \h </w:instrText>
          </w:r>
          <w:r>
            <w:rPr>
              <w:rFonts w:ascii="Times New Roman" w:hAnsi="Times New Roman" w:eastAsia="仿宋_GB2312"/>
            </w:rPr>
            <w:fldChar w:fldCharType="separate"/>
          </w:r>
          <w:r>
            <w:rPr>
              <w:rFonts w:ascii="Times New Roman" w:hAnsi="Times New Roman" w:eastAsia="仿宋_GB2312"/>
            </w:rPr>
            <w:t>82</w:t>
          </w:r>
          <w:r>
            <w:rPr>
              <w:rFonts w:ascii="Times New Roman" w:hAnsi="Times New Roman" w:eastAsia="仿宋_GB2312"/>
            </w:rPr>
            <w:fldChar w:fldCharType="end"/>
          </w:r>
          <w:r>
            <w:rPr>
              <w:rFonts w:ascii="Times New Roman" w:hAnsi="Times New Roman" w:eastAsia="仿宋_GB2312"/>
            </w:rPr>
            <w:fldChar w:fldCharType="end"/>
          </w:r>
        </w:p>
        <w:p>
          <w:pPr>
            <w:spacing w:line="240" w:lineRule="auto"/>
            <w:ind w:firstLine="482"/>
          </w:pPr>
          <w:r>
            <w:rPr>
              <w:rFonts w:ascii="Times New Roman" w:hAnsi="Times New Roman" w:eastAsia="仿宋_GB2312"/>
              <w:b/>
              <w:bCs/>
              <w:lang w:val="zh-CN"/>
            </w:rPr>
            <w:fldChar w:fldCharType="end"/>
          </w:r>
        </w:p>
      </w:sdtContent>
    </w:sdt>
    <w:p>
      <w:pPr>
        <w:spacing w:line="640" w:lineRule="exact"/>
        <w:ind w:firstLine="0" w:firstLineChars="0"/>
        <w:jc w:val="center"/>
        <w:rPr>
          <w:rFonts w:ascii="Times New Roman" w:hAnsi="Times New Roman" w:eastAsia="仿宋_GB2312"/>
        </w:rPr>
      </w:pPr>
    </w:p>
    <w:p>
      <w:pPr>
        <w:spacing w:line="640" w:lineRule="exact"/>
        <w:ind w:firstLine="360" w:firstLineChars="150"/>
        <w:rPr>
          <w:rFonts w:ascii="Times New Roman" w:hAnsi="Times New Roman" w:eastAsia="仿宋_GB2312"/>
        </w:rPr>
      </w:pPr>
    </w:p>
    <w:p>
      <w:pPr>
        <w:spacing w:line="640" w:lineRule="exact"/>
        <w:ind w:firstLine="360" w:firstLineChars="150"/>
        <w:rPr>
          <w:rFonts w:ascii="Times New Roman" w:hAnsi="Times New Roman" w:eastAsia="仿宋_GB2312"/>
        </w:rPr>
        <w:sectPr>
          <w:headerReference r:id="rId11" w:type="default"/>
          <w:footerReference r:id="rId12" w:type="default"/>
          <w:pgSz w:w="11906" w:h="16838"/>
          <w:pgMar w:top="1440" w:right="1797" w:bottom="1440" w:left="1797" w:header="851" w:footer="992" w:gutter="0"/>
          <w:pgNumType w:fmt="upperRoman"/>
          <w:cols w:space="720" w:num="1"/>
          <w:docGrid w:linePitch="326" w:charSpace="0"/>
        </w:sectPr>
      </w:pPr>
    </w:p>
    <w:p>
      <w:pPr>
        <w:pStyle w:val="96"/>
        <w:spacing w:beforeLines="50" w:after="120"/>
        <w:jc w:val="center"/>
        <w:rPr>
          <w:rFonts w:eastAsia="仿宋_GB2312"/>
        </w:rPr>
      </w:pPr>
      <w:bookmarkStart w:id="2" w:name="_Toc68612176"/>
      <w:bookmarkStart w:id="3" w:name="_Toc65568795"/>
      <w:r>
        <w:rPr>
          <w:rFonts w:eastAsia="仿宋_GB2312"/>
        </w:rPr>
        <w:t>第一章  总 则</w:t>
      </w:r>
      <w:bookmarkEnd w:id="1"/>
      <w:bookmarkEnd w:id="2"/>
      <w:bookmarkEnd w:id="3"/>
    </w:p>
    <w:p>
      <w:pPr>
        <w:pStyle w:val="3"/>
        <w:spacing w:before="120" w:beforeLines="50" w:afterLines="50" w:line="580" w:lineRule="exact"/>
        <w:rPr>
          <w:rFonts w:ascii="Times New Roman" w:hAnsi="Times New Roman" w:eastAsia="仿宋_GB2312"/>
        </w:rPr>
      </w:pPr>
      <w:bookmarkStart w:id="4" w:name="_Toc68612177"/>
      <w:bookmarkStart w:id="5" w:name="_Toc287979042"/>
      <w:bookmarkStart w:id="6" w:name="_Toc65568796"/>
      <w:r>
        <w:rPr>
          <w:rFonts w:ascii="Times New Roman" w:hAnsi="Times New Roman" w:eastAsia="仿宋_GB2312"/>
        </w:rPr>
        <w:t>1.1划定背景</w:t>
      </w:r>
      <w:bookmarkEnd w:id="4"/>
      <w:bookmarkEnd w:id="5"/>
      <w:bookmarkEnd w:id="6"/>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饮用水源安全是一个重要的民生问题，关系到人民群众的身体健康。坚持以人民为中心，坚持保障农村水源地环境安全，加快推进饮用水水源保护区（以下简称保护区）划定、保护区边界标志设立、保护区内环境问题整治，统筹做好农村供水工程水源地选址、风险源排查和水质监测，着力解决各地农村水源保护工作中存在的突出生态环境问题，补齐农村生态环境保护短板，促进城乡基本公共服务均等化，为全面建成小康社会目标提供有力支撑。因此保护饮用水源安全，是生态环境保护的一项重要工作。</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为加强饮用水源地环境管理，进一步提升饮用水安全保障水平，根据《关于进一步开展饮用水水源地环境保护工作的通知》（环执法</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2018</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142号）、《关于推进乡镇及以下集中式饮用水水源地生态环境保护工作的指导意见》（环水体函</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2019</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92号）、《浙江省生态环境厅关于进一步加强我省集中式饮用水水源地生态环境保护工作的通知》（浙环函</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2020</w:t>
      </w:r>
      <w:r>
        <w:rPr>
          <w:rFonts w:ascii="Times New Roman" w:hAnsi="Times New Roman" w:eastAsia="微软雅黑"/>
          <w:snapToGrid w:val="0"/>
          <w:kern w:val="0"/>
          <w:sz w:val="28"/>
          <w:szCs w:val="28"/>
        </w:rPr>
        <w:t>﹞</w:t>
      </w:r>
      <w:r>
        <w:rPr>
          <w:rFonts w:ascii="Times New Roman" w:hAnsi="Times New Roman" w:eastAsia="仿宋_GB2312"/>
          <w:snapToGrid w:val="0"/>
          <w:kern w:val="0"/>
          <w:sz w:val="28"/>
          <w:szCs w:val="28"/>
        </w:rPr>
        <w:t>89号）</w:t>
      </w:r>
      <w:r>
        <w:rPr>
          <w:rFonts w:hint="eastAsia" w:ascii="Times New Roman" w:hAnsi="Times New Roman" w:eastAsia="仿宋_GB2312"/>
          <w:snapToGrid w:val="0"/>
          <w:kern w:val="0"/>
          <w:sz w:val="28"/>
          <w:szCs w:val="28"/>
        </w:rPr>
        <w:t>等文件</w:t>
      </w:r>
      <w:r>
        <w:rPr>
          <w:rFonts w:ascii="Times New Roman" w:hAnsi="Times New Roman" w:eastAsia="仿宋_GB2312"/>
          <w:snapToGrid w:val="0"/>
          <w:kern w:val="0"/>
          <w:sz w:val="28"/>
          <w:szCs w:val="28"/>
        </w:rPr>
        <w:t>要求，各地应落实</w:t>
      </w:r>
      <w:r>
        <w:rPr>
          <w:rFonts w:hint="eastAsia" w:ascii="Times New Roman" w:hAnsi="Times New Roman" w:eastAsia="仿宋_GB2312"/>
          <w:snapToGrid w:val="0"/>
          <w:kern w:val="0"/>
          <w:sz w:val="28"/>
          <w:szCs w:val="28"/>
        </w:rPr>
        <w:t>“千吨万人”饮用水源</w:t>
      </w:r>
      <w:r>
        <w:rPr>
          <w:rFonts w:ascii="Times New Roman" w:hAnsi="Times New Roman" w:eastAsia="仿宋_GB2312"/>
          <w:snapToGrid w:val="0"/>
          <w:kern w:val="0"/>
          <w:sz w:val="28"/>
          <w:szCs w:val="28"/>
        </w:rPr>
        <w:t>保护区划定及规范化建设工作，积极开展饮用水水源保护区综合整治，全面保障城乡饮水安全。</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本次共划定供水人口在10000人或日供水在1000吨以上（“千吨万人”）的乡镇级饮用水水源地5个，包括</w:t>
      </w:r>
      <w:r>
        <w:rPr>
          <w:rFonts w:ascii="Times New Roman" w:hAnsi="Times New Roman" w:eastAsia="仿宋_GB2312"/>
          <w:sz w:val="28"/>
          <w:szCs w:val="28"/>
        </w:rPr>
        <w:t>龙岗镇华光潭一级水库、板桥镇居仁水库、河桥镇江岭水库、岛石镇喷洞水库、太湖源镇夏村水库</w:t>
      </w:r>
      <w:r>
        <w:rPr>
          <w:rFonts w:ascii="Times New Roman" w:hAnsi="Times New Roman" w:eastAsia="仿宋_GB2312"/>
          <w:snapToGrid w:val="0"/>
          <w:kern w:val="0"/>
          <w:sz w:val="28"/>
          <w:szCs w:val="28"/>
        </w:rPr>
        <w:t>。划定工作严格参照《关于推进乡镇及以下集中式饮用水水源地生态环境保护工作的指导意见》（环水体函〔2019〕92号）、《关于进一步加强我省集中式饮用水水源地生态环境保护工作的通知》（浙环函〔2020〕89号）和</w:t>
      </w:r>
      <w:r>
        <w:rPr>
          <w:rFonts w:ascii="Times New Roman" w:hAnsi="Times New Roman" w:eastAsia="仿宋_GB2312"/>
          <w:sz w:val="28"/>
          <w:szCs w:val="28"/>
        </w:rPr>
        <w:t>《饮用水水源保护区划分技术规范》（HJ 338-2018）等文件要求</w:t>
      </w:r>
      <w:r>
        <w:rPr>
          <w:rFonts w:ascii="Times New Roman" w:hAnsi="Times New Roman" w:eastAsia="仿宋_GB2312"/>
          <w:snapToGrid w:val="0"/>
          <w:kern w:val="0"/>
          <w:sz w:val="28"/>
          <w:szCs w:val="28"/>
        </w:rPr>
        <w:t>。</w:t>
      </w:r>
    </w:p>
    <w:p>
      <w:pPr>
        <w:pStyle w:val="3"/>
        <w:spacing w:before="120" w:beforeLines="50" w:afterLines="50" w:line="580" w:lineRule="exact"/>
        <w:rPr>
          <w:rFonts w:ascii="Times New Roman" w:hAnsi="Times New Roman" w:eastAsia="仿宋_GB2312"/>
        </w:rPr>
      </w:pPr>
      <w:bookmarkStart w:id="7" w:name="_Toc68612178"/>
      <w:bookmarkStart w:id="8" w:name="_Toc65568797"/>
      <w:bookmarkStart w:id="9" w:name="_Toc287979043"/>
      <w:r>
        <w:rPr>
          <w:rFonts w:ascii="Times New Roman" w:hAnsi="Times New Roman" w:eastAsia="仿宋_GB2312"/>
        </w:rPr>
        <w:t>1.2划定原则</w:t>
      </w:r>
      <w:bookmarkEnd w:id="7"/>
      <w:bookmarkEnd w:id="8"/>
      <w:bookmarkEnd w:id="9"/>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bCs/>
          <w:snapToGrid w:val="0"/>
          <w:kern w:val="0"/>
          <w:sz w:val="28"/>
          <w:szCs w:val="28"/>
        </w:rPr>
        <w:t>以人为本，保护优先。</w:t>
      </w:r>
      <w:r>
        <w:rPr>
          <w:rFonts w:ascii="Times New Roman" w:hAnsi="Times New Roman" w:eastAsia="仿宋_GB2312"/>
          <w:snapToGrid w:val="0"/>
          <w:kern w:val="0"/>
          <w:sz w:val="28"/>
          <w:szCs w:val="28"/>
        </w:rPr>
        <w:t>农村饮水安全事关亿万农村居民身体健康，关系社会大局稳定。牢固树立底线意识，保持加强生态文明建设的战略定力，提高政治站位，把农村水源保护工作摆在优先位置，采取切实措施，让农村居民喝上放心水。</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bCs/>
          <w:snapToGrid w:val="0"/>
          <w:kern w:val="0"/>
          <w:sz w:val="28"/>
          <w:szCs w:val="28"/>
        </w:rPr>
        <w:t>统筹兼顾，实事求是。</w:t>
      </w:r>
      <w:r>
        <w:rPr>
          <w:rFonts w:ascii="Times New Roman" w:hAnsi="Times New Roman" w:eastAsia="仿宋_GB2312"/>
          <w:snapToGrid w:val="0"/>
          <w:kern w:val="0"/>
          <w:sz w:val="28"/>
          <w:szCs w:val="28"/>
        </w:rPr>
        <w:t>坚持依法依规和因地制宜相结合，统筹解决农村水源地保护问题，着力破解难点和堵点。合理确定保护区划定及保护标准，能划则划、科学定界、有效管理。</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bCs/>
          <w:snapToGrid w:val="0"/>
          <w:kern w:val="0"/>
          <w:sz w:val="28"/>
          <w:szCs w:val="28"/>
        </w:rPr>
        <w:t>分类施策，妥善处置。</w:t>
      </w:r>
      <w:r>
        <w:rPr>
          <w:rFonts w:ascii="Times New Roman" w:hAnsi="Times New Roman" w:eastAsia="仿宋_GB2312"/>
          <w:snapToGrid w:val="0"/>
          <w:kern w:val="0"/>
          <w:sz w:val="28"/>
          <w:szCs w:val="28"/>
        </w:rPr>
        <w:t>坚持问题导向，分类施策，严格管住新增问题，妥善处置存量问题。对保护区划定后的违法建设项目，坚决予以取缔；对保护区划定前已存在的建设项目，严格控制污染，逐步退出；对暂时难以退出的，采取有效补救措施。</w:t>
      </w:r>
    </w:p>
    <w:p>
      <w:pPr>
        <w:pStyle w:val="3"/>
        <w:spacing w:before="120" w:beforeLines="50" w:afterLines="50" w:line="580" w:lineRule="exact"/>
        <w:rPr>
          <w:rFonts w:ascii="Times New Roman" w:hAnsi="Times New Roman" w:eastAsia="仿宋_GB2312"/>
        </w:rPr>
      </w:pPr>
      <w:bookmarkStart w:id="10" w:name="_Toc68612179"/>
      <w:bookmarkStart w:id="11" w:name="_Toc65568798"/>
      <w:bookmarkStart w:id="12" w:name="_Toc241574753"/>
      <w:bookmarkStart w:id="13" w:name="_Toc287979044"/>
      <w:r>
        <w:rPr>
          <w:rFonts w:ascii="Times New Roman" w:hAnsi="Times New Roman" w:eastAsia="仿宋_GB2312"/>
        </w:rPr>
        <w:t>1.3划定依据</w:t>
      </w:r>
      <w:bookmarkEnd w:id="10"/>
      <w:bookmarkEnd w:id="11"/>
      <w:bookmarkEnd w:id="12"/>
      <w:bookmarkEnd w:id="13"/>
    </w:p>
    <w:p>
      <w:pPr>
        <w:pStyle w:val="88"/>
        <w:numPr>
          <w:ilvl w:val="0"/>
          <w:numId w:val="2"/>
        </w:numPr>
        <w:spacing w:line="580" w:lineRule="exact"/>
        <w:ind w:firstLine="560"/>
        <w:rPr>
          <w:rFonts w:ascii="Times New Roman" w:hAnsi="Times New Roman" w:eastAsia="仿宋_GB2312"/>
          <w:bCs/>
          <w:snapToGrid w:val="0"/>
          <w:kern w:val="0"/>
          <w:sz w:val="28"/>
          <w:szCs w:val="28"/>
        </w:rPr>
      </w:pPr>
      <w:bookmarkStart w:id="14" w:name="_Toc241574755"/>
      <w:bookmarkStart w:id="15" w:name="_Toc287979046"/>
      <w:r>
        <w:rPr>
          <w:rFonts w:ascii="Times New Roman" w:hAnsi="Times New Roman" w:eastAsia="仿宋_GB2312"/>
          <w:snapToGrid w:val="0"/>
          <w:kern w:val="0"/>
          <w:sz w:val="28"/>
          <w:szCs w:val="28"/>
        </w:rPr>
        <w:t>《中华人民共和国环境保护法》</w:t>
      </w:r>
      <w:r>
        <w:rPr>
          <w:rFonts w:ascii="Times New Roman" w:hAnsi="Times New Roman" w:eastAsia="仿宋_GB2312"/>
          <w:bCs/>
          <w:snapToGrid w:val="0"/>
          <w:kern w:val="0"/>
          <w:sz w:val="28"/>
          <w:szCs w:val="28"/>
        </w:rPr>
        <w:t>（2014年修订）；</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《中华人民共和国水法》</w:t>
      </w:r>
      <w:r>
        <w:rPr>
          <w:rFonts w:ascii="Times New Roman" w:hAnsi="Times New Roman" w:eastAsia="仿宋_GB2312"/>
          <w:bCs/>
          <w:snapToGrid w:val="0"/>
          <w:kern w:val="0"/>
          <w:sz w:val="28"/>
          <w:szCs w:val="28"/>
        </w:rPr>
        <w:t>（2016年修订）；</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《中华人民共和国水污染防治法》</w:t>
      </w:r>
      <w:r>
        <w:rPr>
          <w:rFonts w:ascii="Times New Roman" w:hAnsi="Times New Roman" w:eastAsia="仿宋_GB2312"/>
          <w:bCs/>
          <w:snapToGrid w:val="0"/>
          <w:kern w:val="0"/>
          <w:sz w:val="28"/>
          <w:szCs w:val="28"/>
        </w:rPr>
        <w:t>（2017年修订）；</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《浙江省水污染防治条例》</w:t>
      </w:r>
      <w:r>
        <w:rPr>
          <w:rFonts w:ascii="Times New Roman" w:hAnsi="Times New Roman" w:eastAsia="仿宋_GB2312"/>
          <w:bCs/>
          <w:snapToGrid w:val="0"/>
          <w:kern w:val="0"/>
          <w:sz w:val="28"/>
          <w:szCs w:val="28"/>
        </w:rPr>
        <w:t>（2020年修订）；</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《浙江省水资源条例》</w:t>
      </w:r>
      <w:r>
        <w:rPr>
          <w:rFonts w:ascii="Times New Roman" w:hAnsi="Times New Roman" w:eastAsia="仿宋_GB2312"/>
          <w:bCs/>
          <w:snapToGrid w:val="0"/>
          <w:kern w:val="0"/>
          <w:sz w:val="28"/>
          <w:szCs w:val="28"/>
        </w:rPr>
        <w:t>（</w:t>
      </w:r>
      <w:r>
        <w:rPr>
          <w:rFonts w:hint="eastAsia" w:ascii="Times New Roman" w:hAnsi="Times New Roman" w:eastAsia="仿宋_GB2312"/>
          <w:bCs/>
          <w:snapToGrid w:val="0"/>
          <w:kern w:val="0"/>
          <w:sz w:val="28"/>
          <w:szCs w:val="28"/>
        </w:rPr>
        <w:t>2</w:t>
      </w:r>
      <w:r>
        <w:rPr>
          <w:rFonts w:ascii="Times New Roman" w:hAnsi="Times New Roman" w:eastAsia="仿宋_GB2312"/>
          <w:bCs/>
          <w:snapToGrid w:val="0"/>
          <w:kern w:val="0"/>
          <w:sz w:val="28"/>
          <w:szCs w:val="28"/>
        </w:rPr>
        <w:t>021</w:t>
      </w:r>
      <w:r>
        <w:rPr>
          <w:rFonts w:hint="eastAsia" w:ascii="Times New Roman" w:hAnsi="Times New Roman" w:eastAsia="仿宋_GB2312"/>
          <w:bCs/>
          <w:snapToGrid w:val="0"/>
          <w:kern w:val="0"/>
          <w:sz w:val="28"/>
          <w:szCs w:val="28"/>
        </w:rPr>
        <w:t>年1月1日</w:t>
      </w:r>
      <w:r>
        <w:rPr>
          <w:rFonts w:ascii="Times New Roman" w:hAnsi="Times New Roman" w:eastAsia="仿宋_GB2312"/>
          <w:bCs/>
          <w:snapToGrid w:val="0"/>
          <w:kern w:val="0"/>
          <w:sz w:val="28"/>
          <w:szCs w:val="28"/>
        </w:rPr>
        <w:t>）；</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《浙江省饮用水水源保护条例》</w:t>
      </w:r>
      <w:r>
        <w:rPr>
          <w:rFonts w:ascii="Times New Roman" w:hAnsi="Times New Roman" w:eastAsia="仿宋_GB2312"/>
          <w:bCs/>
          <w:snapToGrid w:val="0"/>
          <w:kern w:val="0"/>
          <w:sz w:val="28"/>
          <w:szCs w:val="28"/>
        </w:rPr>
        <w:t>（2020年修订）；</w:t>
      </w:r>
      <w:bookmarkEnd w:id="14"/>
      <w:bookmarkEnd w:id="15"/>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《集中式饮用水水源地规范化建设环境保护技术要求》</w:t>
      </w:r>
      <w:r>
        <w:rPr>
          <w:rFonts w:ascii="Times New Roman" w:hAnsi="Times New Roman" w:eastAsia="仿宋_GB2312"/>
          <w:bCs/>
          <w:snapToGrid w:val="0"/>
          <w:kern w:val="0"/>
          <w:sz w:val="28"/>
          <w:szCs w:val="28"/>
        </w:rPr>
        <w:t>（HJ773-2015）；</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《集中式饮用水水源地环境保护状况评估技术规范》</w:t>
      </w:r>
      <w:r>
        <w:rPr>
          <w:rFonts w:ascii="Times New Roman" w:hAnsi="Times New Roman" w:eastAsia="仿宋_GB2312"/>
          <w:bCs/>
          <w:snapToGrid w:val="0"/>
          <w:kern w:val="0"/>
          <w:sz w:val="28"/>
          <w:szCs w:val="28"/>
        </w:rPr>
        <w:t>（HJ774-2015）；</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bCs/>
          <w:snapToGrid w:val="0"/>
          <w:kern w:val="0"/>
          <w:sz w:val="28"/>
          <w:szCs w:val="28"/>
        </w:rPr>
        <w:t>《饮用水水源划分技术规范》（HJ 338-2018）；</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《集中式饮用水水源环境保护指南（试行）》</w:t>
      </w:r>
      <w:r>
        <w:rPr>
          <w:rFonts w:ascii="Times New Roman" w:hAnsi="Times New Roman" w:eastAsia="仿宋_GB2312"/>
          <w:bCs/>
          <w:snapToGrid w:val="0"/>
          <w:kern w:val="0"/>
          <w:sz w:val="28"/>
          <w:szCs w:val="28"/>
        </w:rPr>
        <w:t>（环办〔2012〕50号）；</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《浙江省水功能区划及水环境功能区划分方案（2015）》</w:t>
      </w:r>
      <w:r>
        <w:rPr>
          <w:rFonts w:ascii="Times New Roman" w:hAnsi="Times New Roman" w:eastAsia="仿宋_GB2312"/>
          <w:bCs/>
          <w:snapToGrid w:val="0"/>
          <w:kern w:val="0"/>
          <w:sz w:val="28"/>
          <w:szCs w:val="28"/>
        </w:rPr>
        <w:t>（浙政函〔2015〕71号）；</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《关于推进乡镇及以下集中式饮用水水源地生态环境保护工作的指导意见》</w:t>
      </w:r>
      <w:r>
        <w:rPr>
          <w:rFonts w:ascii="Times New Roman" w:hAnsi="Times New Roman" w:eastAsia="仿宋_GB2312"/>
          <w:bCs/>
          <w:snapToGrid w:val="0"/>
          <w:kern w:val="0"/>
          <w:sz w:val="28"/>
          <w:szCs w:val="28"/>
        </w:rPr>
        <w:t>（环水体函〔2019〕92号）；</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ascii="Times New Roman" w:hAnsi="Times New Roman" w:eastAsia="仿宋_GB2312"/>
          <w:snapToGrid w:val="0"/>
          <w:kern w:val="0"/>
          <w:sz w:val="28"/>
          <w:szCs w:val="28"/>
        </w:rPr>
        <w:t>《关于进一步加强我省集中式饮用水水源地生态环境保护工作的通知》</w:t>
      </w:r>
      <w:r>
        <w:rPr>
          <w:rFonts w:ascii="Times New Roman" w:hAnsi="Times New Roman" w:eastAsia="仿宋_GB2312"/>
          <w:bCs/>
          <w:snapToGrid w:val="0"/>
          <w:kern w:val="0"/>
          <w:sz w:val="28"/>
          <w:szCs w:val="28"/>
        </w:rPr>
        <w:t>（浙环函〔2020〕89号）</w:t>
      </w:r>
      <w:r>
        <w:rPr>
          <w:rFonts w:hint="eastAsia" w:ascii="Times New Roman" w:hAnsi="Times New Roman" w:eastAsia="仿宋_GB2312"/>
          <w:bCs/>
          <w:snapToGrid w:val="0"/>
          <w:kern w:val="0"/>
          <w:sz w:val="28"/>
          <w:szCs w:val="28"/>
        </w:rPr>
        <w:t>；</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hint="eastAsia" w:ascii="Times New Roman" w:hAnsi="Times New Roman" w:eastAsia="仿宋_GB2312"/>
          <w:bCs/>
          <w:snapToGrid w:val="0"/>
          <w:kern w:val="0"/>
          <w:sz w:val="28"/>
          <w:szCs w:val="28"/>
        </w:rPr>
        <w:t>《浙江省农村供水管理办法》（2</w:t>
      </w:r>
      <w:r>
        <w:rPr>
          <w:rFonts w:ascii="Times New Roman" w:hAnsi="Times New Roman" w:eastAsia="仿宋_GB2312"/>
          <w:bCs/>
          <w:snapToGrid w:val="0"/>
          <w:kern w:val="0"/>
          <w:sz w:val="28"/>
          <w:szCs w:val="28"/>
        </w:rPr>
        <w:t>012</w:t>
      </w:r>
      <w:r>
        <w:rPr>
          <w:rFonts w:hint="eastAsia" w:ascii="Times New Roman" w:hAnsi="Times New Roman" w:eastAsia="仿宋_GB2312"/>
          <w:bCs/>
          <w:snapToGrid w:val="0"/>
          <w:kern w:val="0"/>
          <w:sz w:val="28"/>
          <w:szCs w:val="28"/>
        </w:rPr>
        <w:t>年1</w:t>
      </w:r>
      <w:r>
        <w:rPr>
          <w:rFonts w:ascii="Times New Roman" w:hAnsi="Times New Roman" w:eastAsia="仿宋_GB2312"/>
          <w:bCs/>
          <w:snapToGrid w:val="0"/>
          <w:kern w:val="0"/>
          <w:sz w:val="28"/>
          <w:szCs w:val="28"/>
        </w:rPr>
        <w:t>1</w:t>
      </w:r>
      <w:r>
        <w:rPr>
          <w:rFonts w:hint="eastAsia" w:ascii="Times New Roman" w:hAnsi="Times New Roman" w:eastAsia="仿宋_GB2312"/>
          <w:bCs/>
          <w:snapToGrid w:val="0"/>
          <w:kern w:val="0"/>
          <w:sz w:val="28"/>
          <w:szCs w:val="28"/>
        </w:rPr>
        <w:t>月）；</w:t>
      </w:r>
    </w:p>
    <w:p>
      <w:pPr>
        <w:pStyle w:val="88"/>
        <w:numPr>
          <w:ilvl w:val="0"/>
          <w:numId w:val="2"/>
        </w:numPr>
        <w:spacing w:line="580" w:lineRule="exact"/>
        <w:ind w:firstLine="560"/>
        <w:rPr>
          <w:rFonts w:ascii="Times New Roman" w:hAnsi="Times New Roman" w:eastAsia="仿宋_GB2312"/>
          <w:bCs/>
          <w:snapToGrid w:val="0"/>
          <w:kern w:val="0"/>
          <w:sz w:val="28"/>
          <w:szCs w:val="28"/>
        </w:rPr>
      </w:pPr>
      <w:r>
        <w:rPr>
          <w:rFonts w:hint="eastAsia" w:ascii="Times New Roman" w:hAnsi="Times New Roman" w:eastAsia="仿宋_GB2312"/>
          <w:bCs/>
          <w:snapToGrid w:val="0"/>
          <w:kern w:val="0"/>
          <w:sz w:val="28"/>
          <w:szCs w:val="28"/>
        </w:rPr>
        <w:t>其他相关法律法规、政策文件及规划等相关依据。</w:t>
      </w:r>
    </w:p>
    <w:p>
      <w:pPr>
        <w:spacing w:line="580" w:lineRule="exact"/>
        <w:ind w:firstLineChars="0"/>
        <w:rPr>
          <w:rFonts w:ascii="Times New Roman" w:hAnsi="Times New Roman" w:eastAsia="仿宋_GB2312"/>
          <w:bCs/>
          <w:snapToGrid w:val="0"/>
          <w:kern w:val="0"/>
          <w:sz w:val="28"/>
          <w:szCs w:val="28"/>
        </w:rPr>
      </w:pPr>
    </w:p>
    <w:p>
      <w:pPr>
        <w:spacing w:line="580" w:lineRule="exact"/>
        <w:ind w:firstLineChars="0"/>
        <w:rPr>
          <w:rFonts w:ascii="Times New Roman" w:hAnsi="Times New Roman" w:eastAsia="仿宋_GB2312"/>
          <w:bCs/>
          <w:snapToGrid w:val="0"/>
          <w:kern w:val="0"/>
          <w:sz w:val="28"/>
          <w:szCs w:val="28"/>
        </w:rPr>
      </w:pPr>
    </w:p>
    <w:p>
      <w:pPr>
        <w:spacing w:line="580" w:lineRule="exact"/>
        <w:ind w:firstLineChars="0"/>
        <w:rPr>
          <w:rFonts w:ascii="Times New Roman" w:hAnsi="Times New Roman" w:eastAsia="仿宋_GB2312"/>
          <w:bCs/>
          <w:snapToGrid w:val="0"/>
          <w:kern w:val="0"/>
          <w:sz w:val="28"/>
          <w:szCs w:val="28"/>
        </w:rPr>
        <w:sectPr>
          <w:footerReference r:id="rId13" w:type="default"/>
          <w:pgSz w:w="11906" w:h="16838"/>
          <w:pgMar w:top="1440" w:right="1797" w:bottom="1440" w:left="1797" w:header="851" w:footer="992" w:gutter="0"/>
          <w:pgNumType w:start="1"/>
          <w:cols w:space="720" w:num="1"/>
          <w:docGrid w:linePitch="326" w:charSpace="0"/>
        </w:sectPr>
      </w:pPr>
    </w:p>
    <w:p>
      <w:pPr>
        <w:pStyle w:val="96"/>
        <w:spacing w:beforeLines="50" w:after="120"/>
        <w:jc w:val="center"/>
        <w:rPr>
          <w:rFonts w:eastAsia="仿宋_GB2312"/>
        </w:rPr>
      </w:pPr>
      <w:bookmarkStart w:id="16" w:name="_Toc68612180"/>
      <w:bookmarkStart w:id="17" w:name="_Toc65568799"/>
      <w:bookmarkStart w:id="18" w:name="_Toc287979078"/>
      <w:r>
        <w:rPr>
          <w:rFonts w:eastAsia="仿宋_GB2312"/>
        </w:rPr>
        <w:t>第二章  区域概况</w:t>
      </w:r>
      <w:bookmarkEnd w:id="16"/>
      <w:bookmarkEnd w:id="17"/>
    </w:p>
    <w:p>
      <w:pPr>
        <w:pStyle w:val="3"/>
        <w:spacing w:before="120" w:beforeLines="50" w:afterLines="50" w:line="580" w:lineRule="exact"/>
        <w:rPr>
          <w:rFonts w:ascii="Times New Roman" w:hAnsi="Times New Roman" w:eastAsia="仿宋_GB2312"/>
        </w:rPr>
      </w:pPr>
      <w:bookmarkStart w:id="19" w:name="_Toc65568800"/>
      <w:bookmarkStart w:id="20" w:name="_Toc341175013"/>
      <w:bookmarkStart w:id="21" w:name="_Toc68612181"/>
      <w:r>
        <w:rPr>
          <w:rFonts w:ascii="Times New Roman" w:hAnsi="Times New Roman" w:eastAsia="仿宋_GB2312"/>
        </w:rPr>
        <w:t>2.1自然概况</w:t>
      </w:r>
      <w:bookmarkEnd w:id="19"/>
      <w:bookmarkEnd w:id="20"/>
      <w:bookmarkEnd w:id="21"/>
    </w:p>
    <w:p>
      <w:pPr>
        <w:pStyle w:val="91"/>
        <w:spacing w:before="0" w:after="0" w:line="580" w:lineRule="exact"/>
        <w:ind w:left="0" w:leftChars="0" w:firstLine="562" w:firstLineChars="200"/>
        <w:rPr>
          <w:rFonts w:eastAsia="仿宋_GB2312"/>
          <w:color w:val="auto"/>
        </w:rPr>
      </w:pPr>
      <w:bookmarkStart w:id="22" w:name="_Toc68612182"/>
      <w:bookmarkStart w:id="23" w:name="_Toc320523803"/>
      <w:bookmarkStart w:id="24" w:name="_Toc341175014"/>
      <w:r>
        <w:rPr>
          <w:rFonts w:eastAsia="仿宋_GB2312"/>
          <w:color w:val="auto"/>
        </w:rPr>
        <w:t>2.1.1地理位置</w:t>
      </w:r>
      <w:bookmarkEnd w:id="22"/>
      <w:bookmarkEnd w:id="23"/>
      <w:bookmarkEnd w:id="24"/>
    </w:p>
    <w:p>
      <w:pPr>
        <w:spacing w:line="580" w:lineRule="exact"/>
        <w:ind w:firstLine="560"/>
        <w:rPr>
          <w:rFonts w:ascii="Times New Roman" w:hAnsi="Times New Roman" w:eastAsia="仿宋_GB2312"/>
          <w:sz w:val="28"/>
          <w:szCs w:val="28"/>
        </w:rPr>
      </w:pPr>
      <w:r>
        <w:rPr>
          <w:rFonts w:ascii="Times New Roman" w:hAnsi="Times New Roman" w:eastAsia="仿宋_GB2312"/>
          <w:snapToGrid w:val="0"/>
          <w:kern w:val="0"/>
          <w:sz w:val="28"/>
          <w:szCs w:val="28"/>
        </w:rPr>
        <w:t>临安区是杭州市辖区之一，位于浙江省</w:t>
      </w:r>
      <w:r>
        <w:fldChar w:fldCharType="begin"/>
      </w:r>
      <w:r>
        <w:instrText xml:space="preserve"> HYPERLINK "https://baike.baidu.com/item/%E6%9D%AD%E5%B7%9E%E5%B8%82" \t "_blank" </w:instrText>
      </w:r>
      <w:r>
        <w:fldChar w:fldCharType="separate"/>
      </w:r>
      <w:r>
        <w:rPr>
          <w:rFonts w:ascii="Times New Roman" w:hAnsi="Times New Roman" w:eastAsia="仿宋_GB2312"/>
          <w:snapToGrid w:val="0"/>
          <w:kern w:val="0"/>
          <w:sz w:val="28"/>
          <w:szCs w:val="28"/>
        </w:rPr>
        <w:t>杭州市</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西部天目山区，东邻</w:t>
      </w:r>
      <w:r>
        <w:fldChar w:fldCharType="begin"/>
      </w:r>
      <w:r>
        <w:instrText xml:space="preserve"> HYPERLINK "https://baike.baidu.com/item/%E4%BD%99%E6%9D%AD%E5%8C%BA/161196" \t "_blank" </w:instrText>
      </w:r>
      <w:r>
        <w:fldChar w:fldCharType="separate"/>
      </w:r>
      <w:r>
        <w:rPr>
          <w:rFonts w:ascii="Times New Roman" w:hAnsi="Times New Roman" w:eastAsia="仿宋_GB2312"/>
          <w:snapToGrid w:val="0"/>
          <w:kern w:val="0"/>
          <w:sz w:val="28"/>
          <w:szCs w:val="28"/>
        </w:rPr>
        <w:t>余杭区</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，南连</w:t>
      </w:r>
      <w:r>
        <w:fldChar w:fldCharType="begin"/>
      </w:r>
      <w:r>
        <w:instrText xml:space="preserve"> HYPERLINK "https://baike.baidu.com/item/%E5%AF%8C%E9%98%B3%E5%8C%BA/10366004" \t "_blank" </w:instrText>
      </w:r>
      <w:r>
        <w:fldChar w:fldCharType="separate"/>
      </w:r>
      <w:r>
        <w:rPr>
          <w:rFonts w:ascii="Times New Roman" w:hAnsi="Times New Roman" w:eastAsia="仿宋_GB2312"/>
          <w:snapToGrid w:val="0"/>
          <w:kern w:val="0"/>
          <w:sz w:val="28"/>
          <w:szCs w:val="28"/>
        </w:rPr>
        <w:t>富阳区</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和</w:t>
      </w:r>
      <w:r>
        <w:fldChar w:fldCharType="begin"/>
      </w:r>
      <w:r>
        <w:instrText xml:space="preserve"> HYPERLINK "https://baike.baidu.com/item/%E6%A1%90%E5%BA%90%E5%8E%BF/5956158" \t "_blank" </w:instrText>
      </w:r>
      <w:r>
        <w:fldChar w:fldCharType="separate"/>
      </w:r>
      <w:r>
        <w:rPr>
          <w:rFonts w:ascii="Times New Roman" w:hAnsi="Times New Roman" w:eastAsia="仿宋_GB2312"/>
          <w:snapToGrid w:val="0"/>
          <w:kern w:val="0"/>
          <w:sz w:val="28"/>
          <w:szCs w:val="28"/>
        </w:rPr>
        <w:t>桐庐县</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w:t>
      </w:r>
      <w:r>
        <w:fldChar w:fldCharType="begin"/>
      </w:r>
      <w:r>
        <w:instrText xml:space="preserve"> HYPERLINK "https://baike.baidu.com/item/%E6%B7%B3%E5%AE%89%E5%8E%BF/10094095" \t "_blank" </w:instrText>
      </w:r>
      <w:r>
        <w:fldChar w:fldCharType="separate"/>
      </w:r>
      <w:r>
        <w:rPr>
          <w:rFonts w:ascii="Times New Roman" w:hAnsi="Times New Roman" w:eastAsia="仿宋_GB2312"/>
          <w:snapToGrid w:val="0"/>
          <w:kern w:val="0"/>
          <w:sz w:val="28"/>
          <w:szCs w:val="28"/>
        </w:rPr>
        <w:t>淳安县</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，西接安徽省</w:t>
      </w:r>
      <w:r>
        <w:fldChar w:fldCharType="begin"/>
      </w:r>
      <w:r>
        <w:instrText xml:space="preserve"> HYPERLINK "https://baike.baidu.com/item/%E6%AD%99%E5%8E%BF" \t "_blank" </w:instrText>
      </w:r>
      <w:r>
        <w:fldChar w:fldCharType="separate"/>
      </w:r>
      <w:r>
        <w:rPr>
          <w:rFonts w:ascii="Times New Roman" w:hAnsi="Times New Roman" w:eastAsia="仿宋_GB2312"/>
          <w:snapToGrid w:val="0"/>
          <w:kern w:val="0"/>
          <w:sz w:val="28"/>
          <w:szCs w:val="28"/>
        </w:rPr>
        <w:t>歙县</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，北接</w:t>
      </w:r>
      <w:r>
        <w:fldChar w:fldCharType="begin"/>
      </w:r>
      <w:r>
        <w:instrText xml:space="preserve"> HYPERLINK "https://baike.baidu.com/item/%E5%AE%89%E5%90%89%E5%8E%BF/1243332" \t "_blank" </w:instrText>
      </w:r>
      <w:r>
        <w:fldChar w:fldCharType="separate"/>
      </w:r>
      <w:r>
        <w:rPr>
          <w:rFonts w:ascii="Times New Roman" w:hAnsi="Times New Roman" w:eastAsia="仿宋_GB2312"/>
          <w:snapToGrid w:val="0"/>
          <w:kern w:val="0"/>
          <w:sz w:val="28"/>
          <w:szCs w:val="28"/>
        </w:rPr>
        <w:t>安吉县</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及安徽省</w:t>
      </w:r>
      <w:r>
        <w:fldChar w:fldCharType="begin"/>
      </w:r>
      <w:r>
        <w:instrText xml:space="preserve"> HYPERLINK "https://baike.baidu.com/item/%E7%BB%A9%E6%BA%AA%E5%8E%BF/3356134" \t "_blank" </w:instrText>
      </w:r>
      <w:r>
        <w:fldChar w:fldCharType="separate"/>
      </w:r>
      <w:r>
        <w:rPr>
          <w:rFonts w:ascii="Times New Roman" w:hAnsi="Times New Roman" w:eastAsia="仿宋_GB2312"/>
          <w:snapToGrid w:val="0"/>
          <w:kern w:val="0"/>
          <w:sz w:val="28"/>
          <w:szCs w:val="28"/>
        </w:rPr>
        <w:t>绩溪县</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w:t>
      </w:r>
      <w:r>
        <w:fldChar w:fldCharType="begin"/>
      </w:r>
      <w:r>
        <w:instrText xml:space="preserve"> HYPERLINK "https://baike.baidu.com/item/%E5%AE%81%E5%9B%BD%E5%B8%82/3355268" \t "_blank" </w:instrText>
      </w:r>
      <w:r>
        <w:fldChar w:fldCharType="separate"/>
      </w:r>
      <w:r>
        <w:rPr>
          <w:rFonts w:ascii="Times New Roman" w:hAnsi="Times New Roman" w:eastAsia="仿宋_GB2312"/>
          <w:snapToGrid w:val="0"/>
          <w:kern w:val="0"/>
          <w:sz w:val="28"/>
          <w:szCs w:val="28"/>
        </w:rPr>
        <w:t>宁国市</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w:t>
      </w:r>
      <w:r>
        <w:rPr>
          <w:rFonts w:ascii="Times New Roman" w:hAnsi="Times New Roman" w:eastAsia="仿宋_GB2312"/>
          <w:sz w:val="28"/>
        </w:rPr>
        <w:t>临安区介于东经118°51</w:t>
      </w:r>
      <w:r>
        <w:rPr>
          <w:rFonts w:ascii="Times New Roman" w:hAnsi="Times New Roman" w:eastAsia="仿宋_GB2312"/>
          <w:sz w:val="28"/>
          <w:szCs w:val="28"/>
        </w:rPr>
        <w:t>′～</w:t>
      </w:r>
      <w:r>
        <w:rPr>
          <w:rFonts w:ascii="Times New Roman" w:hAnsi="Times New Roman" w:eastAsia="仿宋_GB2312"/>
          <w:sz w:val="28"/>
        </w:rPr>
        <w:t>119°52</w:t>
      </w:r>
      <w:r>
        <w:rPr>
          <w:rFonts w:ascii="Times New Roman" w:hAnsi="Times New Roman" w:eastAsia="仿宋_GB2312"/>
          <w:sz w:val="28"/>
          <w:szCs w:val="28"/>
        </w:rPr>
        <w:t>′</w:t>
      </w:r>
      <w:r>
        <w:rPr>
          <w:rFonts w:ascii="Times New Roman" w:hAnsi="Times New Roman" w:eastAsia="仿宋_GB2312"/>
          <w:sz w:val="28"/>
        </w:rPr>
        <w:t>，北纬29°56</w:t>
      </w:r>
      <w:r>
        <w:rPr>
          <w:rFonts w:ascii="Times New Roman" w:hAnsi="Times New Roman" w:eastAsia="仿宋_GB2312"/>
          <w:sz w:val="28"/>
          <w:szCs w:val="28"/>
        </w:rPr>
        <w:t>′～</w:t>
      </w:r>
      <w:r>
        <w:rPr>
          <w:rFonts w:ascii="Times New Roman" w:hAnsi="Times New Roman" w:eastAsia="仿宋_GB2312"/>
          <w:sz w:val="28"/>
        </w:rPr>
        <w:t>30°23</w:t>
      </w:r>
      <w:r>
        <w:rPr>
          <w:rFonts w:ascii="Times New Roman" w:hAnsi="Times New Roman" w:eastAsia="仿宋_GB2312"/>
          <w:sz w:val="28"/>
          <w:szCs w:val="28"/>
        </w:rPr>
        <w:t>′</w:t>
      </w:r>
      <w:r>
        <w:rPr>
          <w:rFonts w:ascii="Times New Roman" w:hAnsi="Times New Roman" w:eastAsia="仿宋_GB2312"/>
          <w:sz w:val="28"/>
        </w:rPr>
        <w:t>之间</w:t>
      </w:r>
      <w:r>
        <w:rPr>
          <w:rFonts w:ascii="Times New Roman" w:hAnsi="Times New Roman" w:eastAsia="仿宋_GB2312"/>
          <w:snapToGrid w:val="0"/>
          <w:kern w:val="0"/>
          <w:sz w:val="28"/>
          <w:szCs w:val="28"/>
        </w:rPr>
        <w:t>，辖5个街道13个镇298个行政村，总面积3126.8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w:t>
      </w:r>
      <w:r>
        <w:rPr>
          <w:rFonts w:ascii="Times New Roman" w:hAnsi="Times New Roman" w:eastAsia="仿宋_GB2312"/>
          <w:sz w:val="28"/>
          <w:szCs w:val="28"/>
        </w:rPr>
        <w:t>临安区中心城市锦城东距杭州市43 km、上海市258 km，西距黄山市128 km，处在杭州至黄山的黄金旅游线上，杭徽高速公路贯穿全境，交通便捷。</w:t>
      </w:r>
    </w:p>
    <w:p>
      <w:pPr>
        <w:spacing w:line="360" w:lineRule="auto"/>
        <w:ind w:firstLine="0" w:firstLineChars="0"/>
        <w:jc w:val="center"/>
        <w:rPr>
          <w:rFonts w:ascii="Times New Roman" w:hAnsi="Times New Roman" w:eastAsia="仿宋_GB2312"/>
          <w:snapToGrid w:val="0"/>
          <w:kern w:val="0"/>
          <w:sz w:val="28"/>
          <w:szCs w:val="28"/>
        </w:rPr>
      </w:pPr>
      <w:r>
        <w:rPr>
          <w:rFonts w:eastAsia="仿宋"/>
        </w:rPr>
        <w:drawing>
          <wp:inline distT="0" distB="0" distL="0" distR="0">
            <wp:extent cx="5274945" cy="2854325"/>
            <wp:effectExtent l="0" t="0" r="190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945" cy="2854325"/>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图2.1-1 临安区区域位置示意图</w:t>
      </w:r>
    </w:p>
    <w:p>
      <w:pPr>
        <w:pStyle w:val="91"/>
        <w:spacing w:before="0" w:after="0" w:line="580" w:lineRule="exact"/>
        <w:ind w:left="0" w:leftChars="0" w:firstLine="562" w:firstLineChars="200"/>
        <w:rPr>
          <w:rFonts w:eastAsia="仿宋_GB2312"/>
          <w:color w:val="auto"/>
        </w:rPr>
      </w:pPr>
      <w:bookmarkStart w:id="25" w:name="_Toc68612183"/>
      <w:r>
        <w:rPr>
          <w:rFonts w:eastAsia="仿宋_GB2312"/>
          <w:color w:val="auto"/>
        </w:rPr>
        <w:t>2.1.2地质地貌</w:t>
      </w:r>
      <w:bookmarkEnd w:id="25"/>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临安区境内地势自西北向东南倾斜，境内北、西、南三面环山，形成一个东南向的马蹄形屏障。西北多崇山峻岭，深沟幽谷；东南为丘陵宽谷，地势平坦，全境地貌以中低山丘陵为主。西北、西南部山区平均海拔在1000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以上，东部河谷平原海拔在50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以下；西部</w:t>
      </w:r>
      <w:r>
        <w:fldChar w:fldCharType="begin"/>
      </w:r>
      <w:r>
        <w:instrText xml:space="preserve"> HYPERLINK "https://baike.baidu.com/item/%E6%B8%85%E5%87%89%E5%B3%B0/6461025" \t "_blank" </w:instrText>
      </w:r>
      <w:r>
        <w:fldChar w:fldCharType="separate"/>
      </w:r>
      <w:r>
        <w:rPr>
          <w:rFonts w:ascii="Times New Roman" w:hAnsi="Times New Roman" w:eastAsia="仿宋_GB2312"/>
          <w:snapToGrid w:val="0"/>
          <w:kern w:val="0"/>
          <w:sz w:val="28"/>
          <w:szCs w:val="28"/>
        </w:rPr>
        <w:t>清凉峰</w:t>
      </w:r>
      <w:r>
        <w:rPr>
          <w:rFonts w:ascii="Times New Roman" w:hAnsi="Times New Roman" w:eastAsia="仿宋_GB2312"/>
          <w:snapToGrid w:val="0"/>
          <w:kern w:val="0"/>
          <w:sz w:val="28"/>
          <w:szCs w:val="28"/>
        </w:rPr>
        <w:fldChar w:fldCharType="end"/>
      </w:r>
      <w:r>
        <w:rPr>
          <w:rFonts w:ascii="Times New Roman" w:hAnsi="Times New Roman" w:eastAsia="仿宋_GB2312"/>
          <w:snapToGrid w:val="0"/>
          <w:kern w:val="0"/>
          <w:sz w:val="28"/>
          <w:szCs w:val="28"/>
        </w:rPr>
        <w:t>海拔1787</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，东部石泉海拔仅9</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，东西海拔相差1770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，为浙江省罕见。境内低山丘陵与河谷盆地相间排列，交错分布，大致可分为中山-深谷、低山丘陵-宽谷和河谷平原三种地貌形态，中山（海拔高度1000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以上）面积占5.4%，中低山（海拔高度800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～1000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）占8.8%，低山（500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～800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）占18.3%，丘陵岗地（100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～500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）占57.4%，河谷平原（100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以下）占10.4%。</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临安区土壤以红壤土分布最广，占总面积的58.94%，主要分布在海拔650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以下低山丘陵地区，黄壤土占20.31%，主要分布在西部和北部中低山区，岩性土占10.98%。</w:t>
      </w:r>
    </w:p>
    <w:p>
      <w:pPr>
        <w:spacing w:line="240" w:lineRule="auto"/>
        <w:ind w:firstLine="199" w:firstLineChars="83"/>
        <w:rPr>
          <w:rFonts w:ascii="Times New Roman" w:hAnsi="Times New Roman" w:eastAsia="仿宋_GB2312"/>
          <w:snapToGrid w:val="0"/>
          <w:kern w:val="0"/>
          <w:sz w:val="28"/>
          <w:szCs w:val="28"/>
        </w:rPr>
      </w:pPr>
      <w:r>
        <w:rPr>
          <w:rFonts w:ascii="Times New Roman"/>
        </w:rPr>
        <w:drawing>
          <wp:inline distT="0" distB="0" distL="114300" distR="114300">
            <wp:extent cx="5207635" cy="3275330"/>
            <wp:effectExtent l="0" t="0" r="12065" b="127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18"/>
                    <a:stretch>
                      <a:fillRect/>
                    </a:stretch>
                  </pic:blipFill>
                  <pic:spPr>
                    <a:xfrm>
                      <a:off x="0" y="0"/>
                      <a:ext cx="5207635" cy="3275330"/>
                    </a:xfrm>
                    <a:prstGeom prst="rect">
                      <a:avLst/>
                    </a:prstGeom>
                    <a:noFill/>
                    <a:ln>
                      <a:noFill/>
                    </a:ln>
                  </pic:spPr>
                </pic:pic>
              </a:graphicData>
            </a:graphic>
          </wp:inline>
        </w:drawing>
      </w:r>
    </w:p>
    <w:p>
      <w:pPr>
        <w:spacing w:line="240" w:lineRule="auto"/>
        <w:ind w:firstLineChars="83"/>
        <w:jc w:val="center"/>
        <w:rPr>
          <w:rFonts w:ascii="Times New Roman" w:hAnsi="Times New Roman" w:eastAsia="仿宋_GB2312"/>
          <w:b/>
          <w:bCs/>
          <w:snapToGrid w:val="0"/>
          <w:kern w:val="0"/>
        </w:rPr>
      </w:pPr>
      <w:r>
        <w:rPr>
          <w:rFonts w:hint="eastAsia" w:ascii="Times New Roman" w:hAnsi="Times New Roman" w:eastAsia="仿宋_GB2312"/>
          <w:b/>
          <w:bCs/>
          <w:snapToGrid w:val="0"/>
          <w:kern w:val="0"/>
        </w:rPr>
        <w:t>图</w:t>
      </w:r>
      <w:r>
        <w:rPr>
          <w:rFonts w:ascii="Times New Roman" w:hAnsi="Times New Roman" w:eastAsia="仿宋_GB2312"/>
          <w:b/>
          <w:bCs/>
          <w:snapToGrid w:val="0"/>
          <w:kern w:val="0"/>
        </w:rPr>
        <w:t>2.1</w:t>
      </w:r>
      <w:r>
        <w:rPr>
          <w:rFonts w:hint="eastAsia" w:ascii="Times New Roman" w:hAnsi="Times New Roman" w:eastAsia="仿宋_GB2312"/>
          <w:b/>
          <w:bCs/>
          <w:snapToGrid w:val="0"/>
          <w:kern w:val="0"/>
        </w:rPr>
        <w:t>-</w:t>
      </w:r>
      <w:r>
        <w:rPr>
          <w:rFonts w:ascii="Times New Roman" w:hAnsi="Times New Roman" w:eastAsia="仿宋_GB2312"/>
          <w:b/>
          <w:bCs/>
          <w:snapToGrid w:val="0"/>
          <w:kern w:val="0"/>
        </w:rPr>
        <w:t xml:space="preserve">2 </w:t>
      </w:r>
      <w:r>
        <w:rPr>
          <w:rFonts w:hint="eastAsia" w:ascii="Times New Roman" w:hAnsi="Times New Roman" w:eastAsia="仿宋_GB2312"/>
          <w:b/>
          <w:bCs/>
          <w:snapToGrid w:val="0"/>
          <w:kern w:val="0"/>
        </w:rPr>
        <w:t>临安区数字高程图</w:t>
      </w:r>
    </w:p>
    <w:p>
      <w:pPr>
        <w:pStyle w:val="91"/>
        <w:spacing w:before="0" w:after="0" w:line="580" w:lineRule="exact"/>
        <w:ind w:left="0" w:leftChars="0" w:firstLine="562" w:firstLineChars="200"/>
        <w:rPr>
          <w:rFonts w:eastAsia="仿宋_GB2312"/>
          <w:color w:val="auto"/>
        </w:rPr>
      </w:pPr>
      <w:bookmarkStart w:id="26" w:name="_Toc68612184"/>
      <w:r>
        <w:rPr>
          <w:rFonts w:eastAsia="仿宋_GB2312"/>
          <w:color w:val="auto"/>
        </w:rPr>
        <w:t>2.1.3水文气象</w:t>
      </w:r>
      <w:bookmarkEnd w:id="26"/>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临安区地处欧亚大陆的东南部，为季风活动的剧烈地带，冬季由于极地大陆高压气团的控制，气候以晴冷为主；春季大陆高压衰退，副热带高压北进，锋面气旋活动频繁，雨量增多，以阴雨天气为主；夏季由于太平洋副热带高压控制，气候以晴热为主，气温高，雨量少，易伏旱或伏秋连旱，盛夏受热带风暴影响，常有台风暴雨；秋季副热带高压逐渐东移，大陆高压逐渐发展，天气稳定，形成“秋高气爽”的气候。总特征是：四季分明，气候温和，雨量充沛，为典型的亚热带季风气候。临安区气候在垂直方向上差异悬殊，温度自东部向西部递减，年平均气温15.9℃，年日照时数1849.7 h。年相对平均湿度在80%以上。东部春季多东北风，夏秋冬为西南风；西部盛偏东风。多年平均风速1.8 m/s。</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临安区多年平均降雨量1579 mm，多年平均水资源总量27.59亿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，现状人均占有水资源量4652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雨量时空分布不均，降水年内年际变化较大。春夏二季降雨量约占全年降雨量的70%左右，暴雨常带来洪涝灾害。秋冬二季气候干燥雨量偏少，常遇伏旱、秋旱。水资源量地区分布、年内分配和年际变化与降水量情况相似，多年平均径流深在700～1200 mm之间。</w:t>
      </w:r>
    </w:p>
    <w:p>
      <w:pPr>
        <w:pStyle w:val="91"/>
        <w:spacing w:before="0" w:after="0" w:line="580" w:lineRule="exact"/>
        <w:ind w:left="0" w:leftChars="0" w:firstLine="562" w:firstLineChars="200"/>
        <w:rPr>
          <w:rFonts w:eastAsia="仿宋_GB2312"/>
          <w:color w:val="auto"/>
        </w:rPr>
      </w:pPr>
      <w:bookmarkStart w:id="27" w:name="_Toc68612185"/>
      <w:r>
        <w:rPr>
          <w:rFonts w:eastAsia="仿宋_GB2312"/>
          <w:color w:val="auto"/>
        </w:rPr>
        <w:t>2.1.4河流水系</w:t>
      </w:r>
      <w:bookmarkEnd w:id="27"/>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临安属浙西中低山丘陵区，溪流多，源短流急，境内有太湖和钱塘江两大水系，南苕溪、中苕溪、天目溪、昌化溪和分水江为主要溪流。主要溪流均发源于海拔1000m以上山脉，平均坡降9～21‰。上游段多处深山峡谷，坡陡谷深流急；中、下游段多处低山丘陵，河谷平原，地势平坦，除部分河谷狭窄外，溪面开阔，流速缓慢；汛期，洪水峰高量大，暴涨暴落</w:t>
      </w:r>
      <w:r>
        <w:rPr>
          <w:rFonts w:ascii="Times New Roman" w:hAnsi="Times New Roman" w:eastAsia="仿宋_GB2312"/>
          <w:snapToGrid w:val="0"/>
          <w:kern w:val="0"/>
          <w:sz w:val="28"/>
          <w:szCs w:val="28"/>
        </w:rPr>
        <w:t>。</w:t>
      </w:r>
    </w:p>
    <w:p>
      <w:pPr>
        <w:widowControl/>
        <w:shd w:val="clear" w:color="auto" w:fill="FFFFFF"/>
        <w:spacing w:line="360" w:lineRule="atLeast"/>
        <w:ind w:firstLine="0" w:firstLineChars="0"/>
        <w:jc w:val="center"/>
        <w:rPr>
          <w:rFonts w:ascii="Times New Roman" w:hAnsi="Times New Roman" w:eastAsia="仿宋_GB2312"/>
          <w:snapToGrid w:val="0"/>
          <w:kern w:val="0"/>
          <w:sz w:val="28"/>
          <w:szCs w:val="28"/>
        </w:rPr>
      </w:pPr>
      <w:r>
        <w:rPr>
          <w:rFonts w:ascii="Times New Roman" w:hAnsi="Times New Roman" w:eastAsia="仿宋_GB2312"/>
        </w:rPr>
        <w:drawing>
          <wp:inline distT="0" distB="0" distL="0" distR="0">
            <wp:extent cx="4854575" cy="2794635"/>
            <wp:effectExtent l="0" t="0" r="3175"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4856838" cy="2796290"/>
                    </a:xfrm>
                    <a:prstGeom prst="rect">
                      <a:avLst/>
                    </a:prstGeom>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图2.1-3 临安区水系流域图</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南苕溪流域：</w:t>
      </w:r>
      <w:r>
        <w:rPr>
          <w:rFonts w:ascii="Times New Roman" w:hAnsi="Times New Roman" w:eastAsia="仿宋_GB2312"/>
          <w:snapToGrid w:val="0"/>
          <w:kern w:val="0"/>
          <w:sz w:val="28"/>
          <w:szCs w:val="28"/>
        </w:rPr>
        <w:t>南苕溪位于</w:t>
      </w:r>
      <w:r>
        <w:rPr>
          <w:rFonts w:hint="eastAsia" w:ascii="Times New Roman" w:hAnsi="Times New Roman" w:eastAsia="仿宋_GB2312"/>
          <w:snapToGrid w:val="0"/>
          <w:kern w:val="0"/>
          <w:sz w:val="28"/>
          <w:szCs w:val="28"/>
        </w:rPr>
        <w:t>区</w:t>
      </w:r>
      <w:r>
        <w:rPr>
          <w:rFonts w:ascii="Times New Roman" w:hAnsi="Times New Roman" w:eastAsia="仿宋_GB2312"/>
          <w:snapToGrid w:val="0"/>
          <w:kern w:val="0"/>
          <w:sz w:val="28"/>
          <w:szCs w:val="28"/>
        </w:rPr>
        <w:t>境东部，为东苕溪主源</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发源于太湖源镇临目马尖岗，主峰海拔1271.4 m，全长63 km，流域面积720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，比降12.3‰；境内河段长55 km，流域面积686.5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，据青山水库水文站实测</w:t>
      </w:r>
      <w:r>
        <w:rPr>
          <w:rFonts w:hint="eastAsia" w:ascii="Times New Roman" w:hAnsi="Times New Roman" w:eastAsia="仿宋_GB2312"/>
          <w:snapToGrid w:val="0"/>
          <w:kern w:val="0"/>
          <w:sz w:val="28"/>
          <w:szCs w:val="28"/>
        </w:rPr>
        <w:t>青山湖多年平均流量14.5</w:t>
      </w:r>
      <w:r>
        <w:rPr>
          <w:rFonts w:hint="eastAsia" w:ascii="Times New Roman" w:hAnsi="Times New Roman" w:eastAsia="仿宋_GB2312"/>
          <w:sz w:val="28"/>
          <w:szCs w:val="28"/>
        </w:rPr>
        <w:t xml:space="preserve"> 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w:t>
      </w:r>
      <w:r>
        <w:rPr>
          <w:rFonts w:hint="eastAsia" w:ascii="Times New Roman" w:hAnsi="Times New Roman" w:eastAsia="仿宋_GB2312"/>
          <w:snapToGrid w:val="0"/>
          <w:kern w:val="0"/>
          <w:sz w:val="28"/>
          <w:szCs w:val="28"/>
        </w:rPr>
        <w:t>s。南苕溪主源浪（阆）口溪，自溪源水竹坞至双溪口为西坑溪，汇东坑溪后称浪口溪，南流经中型水库——里畈水库，至浪口汇另一主源南溪后称南苕溪。至胡芦岭西汇泥沟溪，甘塘堰上汇潘溪，东流至长桥上汇马溪，青龙口汇锦溪后入青山水库。青山水库南有横溪、灵溪汇入，北有双林溪汇入；出青山水库东流至油车头右汇研溪，至鲍家滩汇斜阳溪，东流至汪家埠出境。</w:t>
      </w:r>
      <w:r>
        <w:rPr>
          <w:rFonts w:ascii="Times New Roman" w:hAnsi="Times New Roman" w:eastAsia="仿宋_GB2312"/>
          <w:snapToGrid w:val="0"/>
          <w:kern w:val="0"/>
          <w:sz w:val="28"/>
          <w:szCs w:val="28"/>
        </w:rPr>
        <w:t>南苕溪流域上游建有大中型水库两座，分别为1964年建成的大型防洪工程青山水库，集水面积603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，及1973年兴建，1995年第一次扩建完成的中型防洪蓄水工程里畈水库，集水面积83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。里畈水库正在进行新一轮扩容加高工程可行性研究。</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中苕溪流域：</w:t>
      </w:r>
      <w:r>
        <w:rPr>
          <w:rFonts w:ascii="Times New Roman" w:hAnsi="Times New Roman" w:eastAsia="仿宋_GB2312"/>
          <w:snapToGrid w:val="0"/>
          <w:kern w:val="0"/>
          <w:sz w:val="28"/>
          <w:szCs w:val="28"/>
        </w:rPr>
        <w:t>中苕溪位于区境东北部，为东苕溪主要支流，属长江水系。发源于高虹镇石门与安吉县交界的青草湾岗。主峰海拔 1073.9 m，全长33.3 km，比降17.9‰，流域面积254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。境内河段长31.5 km，流域面积186.6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中苕溪主源猷溪自美岭坑向东南流经大山村、石门，至中型防洪工程-水涛庄水库，至高乐汇仇溪后称中苕溪。折经安村，至勾山脚汇白水溪，东流于下塘楼出境，又东流经长乐至汤湾渡由左岸汇入东苕溪。中苕溪上游现有一座中型防洪工程水涛庄水库，1999年底开工，2003年1月开始蓄水。集水面积58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，总库容2888万m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天目溪流域：</w:t>
      </w:r>
      <w:r>
        <w:rPr>
          <w:rFonts w:hint="eastAsia" w:ascii="Times New Roman" w:hAnsi="Times New Roman" w:eastAsia="仿宋_GB2312"/>
          <w:snapToGrid w:val="0"/>
          <w:kern w:val="0"/>
          <w:sz w:val="28"/>
          <w:szCs w:val="28"/>
        </w:rPr>
        <w:t>天目溪纵贯区境中部，为分水江主要支流，属钱塘江水系，发源于西天目山北与安吉县交界的桐坑岗，主峰海拔1506m，全长56k</w:t>
      </w:r>
      <w:r>
        <w:rPr>
          <w:rFonts w:ascii="Times New Roman" w:hAnsi="Times New Roman" w:eastAsia="仿宋_GB2312"/>
          <w:snapToGrid w:val="0"/>
          <w:kern w:val="0"/>
          <w:sz w:val="28"/>
          <w:szCs w:val="28"/>
        </w:rPr>
        <w:t>m</w:t>
      </w:r>
      <w:r>
        <w:rPr>
          <w:rFonts w:hint="eastAsia" w:ascii="Times New Roman" w:hAnsi="Times New Roman" w:eastAsia="仿宋_GB2312"/>
          <w:snapToGrid w:val="0"/>
          <w:kern w:val="0"/>
          <w:sz w:val="28"/>
          <w:szCs w:val="28"/>
        </w:rPr>
        <w:t>，比降6.1‰，流域面积761平方公里。天目溪主源东关溪自牯牛塘南流经平溪、后院，至钟家村汇西关溪，至白鹤村汇正清溪；经交口、绍鲁，于双溪口汇另一主源丰陵溪后称天目溪。天目溪过於潜镇，至摇车桥汇藻溪，南山坞汇太阳溪（交溪），龙头畈汇古竹溪，小溪口汇竺溪，麻车埠汇中塘水，至紫溪汇昌化溪后成分水江。</w:t>
      </w:r>
      <w:r>
        <w:rPr>
          <w:rFonts w:ascii="Times New Roman" w:hAnsi="Times New Roman" w:eastAsia="仿宋_GB2312"/>
          <w:snapToGrid w:val="0"/>
          <w:kern w:val="0"/>
          <w:sz w:val="28"/>
          <w:szCs w:val="28"/>
        </w:rPr>
        <w:t>天目溪支流丰陵溪四级支流虞溪上建有中型防洪工程英公水库。坝址以上集雨面积81.3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，主河道长22.1 km，工程任务是以防洪、灌溉为主，结合发电、养鱼等综合利用的中型水库。</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昌化溪流域：</w:t>
      </w:r>
      <w:r>
        <w:rPr>
          <w:rFonts w:hint="eastAsia" w:ascii="Times New Roman" w:hAnsi="Times New Roman" w:eastAsia="仿宋_GB2312"/>
          <w:snapToGrid w:val="0"/>
          <w:kern w:val="0"/>
          <w:sz w:val="28"/>
          <w:szCs w:val="28"/>
        </w:rPr>
        <w:t>昌化溪位于区境北部，为分水江主源，属钱塘江水系，发源于安徽省绩溪县笔架山，主峰海拔1385m，于新桥乡西舍坞入境。昌化溪全长106.9k</w:t>
      </w:r>
      <w:r>
        <w:rPr>
          <w:rFonts w:ascii="Times New Roman" w:hAnsi="Times New Roman" w:eastAsia="仿宋_GB2312"/>
          <w:snapToGrid w:val="0"/>
          <w:kern w:val="0"/>
          <w:sz w:val="28"/>
          <w:szCs w:val="28"/>
        </w:rPr>
        <w:t>m</w:t>
      </w:r>
      <w:r>
        <w:rPr>
          <w:rFonts w:hint="eastAsia" w:ascii="Times New Roman" w:hAnsi="Times New Roman" w:eastAsia="仿宋_GB2312"/>
          <w:snapToGrid w:val="0"/>
          <w:kern w:val="0"/>
          <w:sz w:val="28"/>
          <w:szCs w:val="28"/>
        </w:rPr>
        <w:t>，比降5.0‰，流域面积1443k</w:t>
      </w:r>
      <w:r>
        <w:rPr>
          <w:rFonts w:ascii="Times New Roman" w:hAnsi="Times New Roman" w:eastAsia="仿宋_GB2312"/>
          <w:snapToGrid w:val="0"/>
          <w:kern w:val="0"/>
          <w:sz w:val="28"/>
          <w:szCs w:val="28"/>
        </w:rPr>
        <w:t>m</w:t>
      </w:r>
      <w:r>
        <w:rPr>
          <w:rFonts w:ascii="Times New Roman" w:hAnsi="Times New Roman" w:eastAsia="仿宋_GB2312"/>
          <w:snapToGrid w:val="0"/>
          <w:kern w:val="0"/>
          <w:sz w:val="28"/>
          <w:szCs w:val="28"/>
          <w:vertAlign w:val="superscript"/>
        </w:rPr>
        <w:t>2</w:t>
      </w:r>
      <w:r>
        <w:rPr>
          <w:rFonts w:hint="eastAsia" w:ascii="Times New Roman" w:hAnsi="Times New Roman" w:eastAsia="仿宋_GB2312"/>
          <w:snapToGrid w:val="0"/>
          <w:kern w:val="0"/>
          <w:sz w:val="28"/>
          <w:szCs w:val="28"/>
        </w:rPr>
        <w:t>。境内长93k</w:t>
      </w:r>
      <w:r>
        <w:rPr>
          <w:rFonts w:ascii="Times New Roman" w:hAnsi="Times New Roman" w:eastAsia="仿宋_GB2312"/>
          <w:snapToGrid w:val="0"/>
          <w:kern w:val="0"/>
          <w:sz w:val="28"/>
          <w:szCs w:val="28"/>
        </w:rPr>
        <w:t>m</w:t>
      </w:r>
      <w:r>
        <w:rPr>
          <w:rFonts w:hint="eastAsia" w:ascii="Times New Roman" w:hAnsi="Times New Roman" w:eastAsia="仿宋_GB2312"/>
          <w:snapToGrid w:val="0"/>
          <w:kern w:val="0"/>
          <w:sz w:val="28"/>
          <w:szCs w:val="28"/>
        </w:rPr>
        <w:t>，流域面积1376.7k</w:t>
      </w:r>
      <w:r>
        <w:rPr>
          <w:rFonts w:ascii="Times New Roman" w:hAnsi="Times New Roman" w:eastAsia="仿宋_GB2312"/>
          <w:snapToGrid w:val="0"/>
          <w:kern w:val="0"/>
          <w:sz w:val="28"/>
          <w:szCs w:val="28"/>
        </w:rPr>
        <w:t>m</w:t>
      </w:r>
      <w:r>
        <w:rPr>
          <w:rFonts w:ascii="Times New Roman" w:hAnsi="Times New Roman" w:eastAsia="仿宋_GB2312"/>
          <w:snapToGrid w:val="0"/>
          <w:kern w:val="0"/>
          <w:sz w:val="28"/>
          <w:szCs w:val="28"/>
          <w:vertAlign w:val="superscript"/>
        </w:rPr>
        <w:t>2</w:t>
      </w:r>
      <w:r>
        <w:rPr>
          <w:rFonts w:hint="eastAsia" w:ascii="Times New Roman" w:hAnsi="Times New Roman" w:eastAsia="仿宋_GB2312"/>
          <w:snapToGrid w:val="0"/>
          <w:kern w:val="0"/>
          <w:sz w:val="28"/>
          <w:szCs w:val="28"/>
        </w:rPr>
        <w:t>。主源昌北溪入境后，至倒龙山汇仁里溪，至呼日塘汇银坑溪，至兔川下汇上溪，东南流至太平桥汇桃花溪，荞麦岭脚汇柘林坑溪，东南流至地塔村汇合溪，至汤家湾汇另一主源昌西溪后称昌化溪。再东南流至九坑桥汇龙潭坑溪，白牛桥汇沥溪；七里桥汇黄干溪，油车里汇平渡溪；昌化镇东汇虞溪，童婆桥汇紫溪，云浪下汇锦坑溪，白下汇昌南溪，东南至坑口汇悉山水，青山殿阴山汇马山溪，至紫溪与天目溪汇合后成分水江</w:t>
      </w:r>
      <w:r>
        <w:rPr>
          <w:rFonts w:ascii="Times New Roman" w:hAnsi="Times New Roman" w:eastAsia="仿宋_GB2312"/>
          <w:snapToGrid w:val="0"/>
          <w:kern w:val="0"/>
          <w:sz w:val="28"/>
          <w:szCs w:val="28"/>
        </w:rPr>
        <w:t>。</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昌化溪干流出口处建有青山殿水电站中型调节水库——青山殿水库，集水面积1429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，占昌化溪流域面积的95%；昌北溪上游建有梯级水电站中型调蓄水库——华光潭水库，华光潭一级电站坝址以上集雨面积266.1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，总库容为8257万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，二级电站坝址以上集雨面积350.7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，多年平均径流量3.75亿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，总库容341万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。另有清凉峰镇境内的双溪口水库于2018年底开工，计划2023年完工。水库坝址以上集水面积80.0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，水库总库容2915万 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，是一座以防洪、供水为主，兼顾灌溉、发电、改善水环境等综合利用的水利工程。</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分水江流域：</w:t>
      </w:r>
      <w:r>
        <w:rPr>
          <w:rFonts w:ascii="Times New Roman" w:hAnsi="Times New Roman" w:eastAsia="仿宋_GB2312"/>
          <w:snapToGrid w:val="0"/>
          <w:kern w:val="0"/>
          <w:sz w:val="28"/>
          <w:szCs w:val="28"/>
        </w:rPr>
        <w:t>分水江境内河段，全长8 km。河道平坦、开阔，落差2 m。紫溪流至倒水坞纳紫坊水，至乐平下纳沈家、里坞水，七坑上纳七坑水，东南流出市境。七坑以上集水面积（含昌化、天目溪）2275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w:t>
      </w:r>
    </w:p>
    <w:p>
      <w:pPr>
        <w:spacing w:line="580" w:lineRule="exact"/>
        <w:ind w:firstLine="562"/>
        <w:rPr>
          <w:rFonts w:ascii="Times New Roman" w:hAnsi="Times New Roman" w:eastAsia="仿宋_GB2312"/>
          <w:snapToGrid w:val="0"/>
          <w:kern w:val="0"/>
          <w:sz w:val="28"/>
          <w:szCs w:val="28"/>
        </w:rPr>
      </w:pPr>
      <w:r>
        <w:rPr>
          <w:rFonts w:ascii="Times New Roman" w:hAnsi="Times New Roman" w:eastAsia="仿宋_GB2312"/>
          <w:b/>
          <w:snapToGrid w:val="0"/>
          <w:kern w:val="0"/>
          <w:sz w:val="28"/>
          <w:szCs w:val="28"/>
        </w:rPr>
        <w:t>三口水、清坑溪流域：</w:t>
      </w:r>
      <w:r>
        <w:rPr>
          <w:rFonts w:ascii="Times New Roman" w:hAnsi="Times New Roman" w:eastAsia="仿宋_GB2312"/>
          <w:snapToGrid w:val="0"/>
          <w:kern w:val="0"/>
          <w:sz w:val="28"/>
          <w:szCs w:val="28"/>
        </w:rPr>
        <w:t>三口水、青坑溪系境内独注入江小溪，属于钱塘江水系。三口水在板桥镇三口村，以三口得名。发源于三口村洪家头。经沙坑口至连树坞纳横岭脚水，至上钱纳大横、长明水；至下钱纳直阳坞水、三口纳珠坞、秋口水；又南流至葱坑纳杜家头水，至贝家头稍下出境经富阳市松溪、渌渚江入富春江。境内长10.2 km，集水面积56 km</w:t>
      </w:r>
      <w:r>
        <w:rPr>
          <w:rFonts w:ascii="Times New Roman" w:hAnsi="Times New Roman" w:eastAsia="仿宋_GB2312"/>
          <w:snapToGrid w:val="0"/>
          <w:kern w:val="0"/>
          <w:sz w:val="28"/>
          <w:szCs w:val="28"/>
          <w:vertAlign w:val="superscript"/>
        </w:rPr>
        <w:t>2</w:t>
      </w:r>
      <w:r>
        <w:rPr>
          <w:rFonts w:ascii="Times New Roman" w:hAnsi="Times New Roman" w:eastAsia="仿宋_GB2312"/>
          <w:snapToGrid w:val="0"/>
          <w:kern w:val="0"/>
          <w:sz w:val="28"/>
          <w:szCs w:val="28"/>
        </w:rPr>
        <w:t>。</w:t>
      </w:r>
    </w:p>
    <w:p>
      <w:pPr>
        <w:spacing w:line="240" w:lineRule="auto"/>
        <w:ind w:firstLine="0" w:firstLineChars="0"/>
        <w:jc w:val="center"/>
        <w:rPr>
          <w:rFonts w:ascii="Times New Roman" w:hAnsi="Times New Roman" w:eastAsia="仿宋_GB2312"/>
          <w:snapToGrid w:val="0"/>
          <w:kern w:val="0"/>
          <w:sz w:val="28"/>
          <w:szCs w:val="28"/>
        </w:rPr>
      </w:pPr>
      <w:r>
        <w:rPr>
          <w:rFonts w:eastAsia="仿宋"/>
        </w:rPr>
        <w:drawing>
          <wp:inline distT="0" distB="0" distL="0" distR="0">
            <wp:extent cx="5269865" cy="3858260"/>
            <wp:effectExtent l="0" t="0" r="6985" b="8890"/>
            <wp:docPr id="4" name="图片 4"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水系图"/>
                    <pic:cNvPicPr>
                      <a:picLocks noChangeAspect="1" noChangeArrowheads="1"/>
                    </pic:cNvPicPr>
                  </pic:nvPicPr>
                  <pic:blipFill>
                    <a:blip r:embed="rId20" cstate="print">
                      <a:extLst>
                        <a:ext uri="{28A0092B-C50C-407E-A947-70E740481C1C}">
                          <a14:useLocalDpi xmlns:a14="http://schemas.microsoft.com/office/drawing/2010/main" val="0"/>
                        </a:ext>
                      </a:extLst>
                    </a:blip>
                    <a:srcRect l="4286" t="2466" r="4152" b="2824"/>
                    <a:stretch>
                      <a:fillRect/>
                    </a:stretch>
                  </pic:blipFill>
                  <pic:spPr>
                    <a:xfrm>
                      <a:off x="0" y="0"/>
                      <a:ext cx="5269865" cy="3858260"/>
                    </a:xfrm>
                    <a:prstGeom prst="rect">
                      <a:avLst/>
                    </a:prstGeom>
                    <a:noFill/>
                    <a:ln>
                      <a:noFill/>
                    </a:ln>
                  </pic:spPr>
                </pic:pic>
              </a:graphicData>
            </a:graphic>
          </wp:inline>
        </w:drawing>
      </w:r>
    </w:p>
    <w:p>
      <w:pPr>
        <w:spacing w:line="240" w:lineRule="auto"/>
        <w:ind w:firstLine="0" w:firstLineChars="0"/>
        <w:jc w:val="center"/>
        <w:rPr>
          <w:rFonts w:ascii="Times New Roman" w:hAnsi="Times New Roman" w:eastAsia="仿宋_GB2312"/>
          <w:b/>
          <w:bCs/>
          <w:snapToGrid w:val="0"/>
          <w:kern w:val="0"/>
        </w:rPr>
      </w:pPr>
      <w:r>
        <w:rPr>
          <w:rFonts w:hint="eastAsia" w:ascii="Times New Roman" w:hAnsi="Times New Roman" w:eastAsia="仿宋_GB2312"/>
          <w:b/>
          <w:bCs/>
          <w:snapToGrid w:val="0"/>
          <w:kern w:val="0"/>
        </w:rPr>
        <w:t>图2.1-4</w:t>
      </w:r>
      <w:r>
        <w:rPr>
          <w:rFonts w:ascii="Times New Roman" w:hAnsi="Times New Roman" w:eastAsia="仿宋_GB2312"/>
          <w:b/>
          <w:bCs/>
          <w:snapToGrid w:val="0"/>
          <w:kern w:val="0"/>
        </w:rPr>
        <w:t xml:space="preserve"> </w:t>
      </w:r>
      <w:r>
        <w:rPr>
          <w:rFonts w:hint="eastAsia" w:ascii="Times New Roman" w:hAnsi="Times New Roman" w:eastAsia="仿宋_GB2312"/>
          <w:b/>
          <w:bCs/>
          <w:snapToGrid w:val="0"/>
          <w:kern w:val="0"/>
        </w:rPr>
        <w:t>临安区水系图</w:t>
      </w:r>
    </w:p>
    <w:p>
      <w:pPr>
        <w:pStyle w:val="91"/>
        <w:spacing w:before="0" w:after="0" w:line="580" w:lineRule="exact"/>
        <w:ind w:left="0" w:leftChars="0" w:firstLine="562" w:firstLineChars="200"/>
        <w:rPr>
          <w:rFonts w:eastAsia="仿宋_GB2312"/>
          <w:color w:val="auto"/>
        </w:rPr>
      </w:pPr>
      <w:bookmarkStart w:id="28" w:name="_Toc68612186"/>
      <w:r>
        <w:rPr>
          <w:rFonts w:eastAsia="仿宋_GB2312"/>
          <w:color w:val="auto"/>
        </w:rPr>
        <w:t>2.1.5土地资源</w:t>
      </w:r>
      <w:bookmarkEnd w:id="28"/>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根据2018年土地变更调查数据，临安区土地面积共311871.98公顷，主要用地类型为农地，占全区土地面积的76.1%，其次为耕地和城镇村及工矿用地，分别占9.29%和4.39%。</w:t>
      </w:r>
    </w:p>
    <w:p>
      <w:pPr>
        <w:spacing w:line="580" w:lineRule="exact"/>
        <w:ind w:firstLine="0" w:firstLineChars="0"/>
        <w:jc w:val="center"/>
        <w:rPr>
          <w:rFonts w:ascii="Times New Roman" w:hAnsi="Times New Roman" w:eastAsia="仿宋_GB2312"/>
          <w:b/>
          <w:bCs/>
          <w:snapToGrid w:val="0"/>
          <w:kern w:val="0"/>
        </w:rPr>
      </w:pPr>
      <w:r>
        <w:rPr>
          <w:rFonts w:hint="eastAsia" w:ascii="Times New Roman" w:hAnsi="Times New Roman" w:eastAsia="仿宋_GB2312"/>
          <w:b/>
          <w:bCs/>
          <w:snapToGrid w:val="0"/>
          <w:kern w:val="0"/>
        </w:rPr>
        <w:t>表2.1-1</w:t>
      </w:r>
      <w:r>
        <w:rPr>
          <w:rFonts w:ascii="Times New Roman" w:hAnsi="Times New Roman" w:eastAsia="仿宋_GB2312"/>
          <w:b/>
          <w:bCs/>
          <w:snapToGrid w:val="0"/>
          <w:kern w:val="0"/>
        </w:rPr>
        <w:t xml:space="preserve"> </w:t>
      </w:r>
      <w:r>
        <w:rPr>
          <w:rFonts w:hint="eastAsia" w:ascii="Times New Roman" w:hAnsi="Times New Roman" w:eastAsia="仿宋_GB2312"/>
          <w:b/>
          <w:bCs/>
          <w:snapToGrid w:val="0"/>
          <w:kern w:val="0"/>
        </w:rPr>
        <w:t>临安区土地利用情况</w:t>
      </w:r>
    </w:p>
    <w:tbl>
      <w:tblPr>
        <w:tblStyle w:val="30"/>
        <w:tblW w:w="8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0"/>
        <w:gridCol w:w="2905"/>
        <w:gridCol w:w="1550"/>
        <w:gridCol w:w="1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2540" w:type="dxa"/>
            <w:vAlign w:val="center"/>
          </w:tcPr>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土地利用现状</w:t>
            </w:r>
          </w:p>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一级分类</w:t>
            </w:r>
          </w:p>
        </w:tc>
        <w:tc>
          <w:tcPr>
            <w:tcW w:w="2905" w:type="dxa"/>
            <w:vAlign w:val="center"/>
          </w:tcPr>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土地利用现状</w:t>
            </w:r>
          </w:p>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二级分类</w:t>
            </w:r>
          </w:p>
        </w:tc>
        <w:tc>
          <w:tcPr>
            <w:tcW w:w="1550" w:type="dxa"/>
            <w:vAlign w:val="center"/>
          </w:tcPr>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用地面积</w:t>
            </w:r>
          </w:p>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（公顷）</w:t>
            </w:r>
          </w:p>
        </w:tc>
        <w:tc>
          <w:tcPr>
            <w:tcW w:w="1162" w:type="dxa"/>
            <w:vAlign w:val="center"/>
          </w:tcPr>
          <w:p>
            <w:pPr>
              <w:pStyle w:val="11"/>
              <w:spacing w:after="0" w:line="240" w:lineRule="auto"/>
              <w:ind w:firstLine="0" w:firstLineChars="0"/>
              <w:jc w:val="center"/>
              <w:rPr>
                <w:rFonts w:ascii="Times New Roman" w:hAnsi="Times New Roman" w:eastAsia="仿宋_GB2312"/>
                <w:b/>
                <w:bCs/>
              </w:rPr>
            </w:pPr>
            <w:r>
              <w:rPr>
                <w:rFonts w:ascii="Times New Roman" w:hAnsi="Times New Roman" w:eastAsia="仿宋_GB2312"/>
                <w:b/>
                <w:bCs/>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耕地（01）</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水田（011）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22397.14</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7.18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旱地（013）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6562.99</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28960.13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9.29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园地（02）</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果园（021）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2439.39</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茶园（022）</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3363.76</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其他园地（023）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5459.85</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11263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林地（03）</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有林地（031）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202457.33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64.92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灌木林地（032）</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20847.11</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其他林地（033）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14038.95</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237343.39</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76.10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草地（04）</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天然牧草地（041）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30.78</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其他草地（043）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5676.15</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5706.93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城镇村及工矿用地（20）</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城市（201）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2161.77</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建制镇（202）</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1694.16</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村庄（203）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9074.05</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采矿用地（204）</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335.92</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风景名胜及特殊用地（205）</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625.27</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13691.17</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交通运输用地（10）</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铁路用地（101）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16.44</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公路用地（102）</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2063.75</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农村道路（104）</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1832.78</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3912.97</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水域及水利设施用地（11）</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河流水面（111）</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3481.73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水库水面（113）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1478.32</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坑塘水面（114）</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1294.78</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内陆滩涂（116）</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142.76</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沟渠（117）</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1253.2</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水工建筑用地（118）</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155.2</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7805.99</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restart"/>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其他土地（12）</w:t>
            </w: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设施农用地（122）</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103.16</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田坎（123）</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2508.21</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裸地（127）</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577.03</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2540" w:type="dxa"/>
            <w:vMerge w:val="continue"/>
            <w:vAlign w:val="center"/>
          </w:tcPr>
          <w:p>
            <w:pPr>
              <w:pStyle w:val="11"/>
              <w:spacing w:after="0" w:line="240" w:lineRule="auto"/>
              <w:ind w:firstLine="0" w:firstLineChars="0"/>
              <w:jc w:val="center"/>
              <w:rPr>
                <w:rFonts w:ascii="Times New Roman" w:hAnsi="Times New Roman" w:eastAsia="仿宋_GB2312"/>
              </w:rPr>
            </w:pPr>
          </w:p>
        </w:tc>
        <w:tc>
          <w:tcPr>
            <w:tcW w:w="2905"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3188.4</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5445" w:type="dxa"/>
            <w:gridSpan w:val="2"/>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合计</w:t>
            </w:r>
          </w:p>
        </w:tc>
        <w:tc>
          <w:tcPr>
            <w:tcW w:w="1550"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311871.98</w:t>
            </w:r>
          </w:p>
        </w:tc>
        <w:tc>
          <w:tcPr>
            <w:tcW w:w="1162" w:type="dxa"/>
            <w:vAlign w:val="center"/>
          </w:tcPr>
          <w:p>
            <w:pPr>
              <w:pStyle w:val="11"/>
              <w:spacing w:after="0" w:line="240" w:lineRule="auto"/>
              <w:ind w:firstLine="0" w:firstLineChars="0"/>
              <w:jc w:val="center"/>
              <w:rPr>
                <w:rFonts w:ascii="Times New Roman" w:hAnsi="Times New Roman" w:eastAsia="仿宋_GB2312"/>
              </w:rPr>
            </w:pPr>
            <w:r>
              <w:rPr>
                <w:rFonts w:ascii="Times New Roman" w:hAnsi="Times New Roman" w:eastAsia="仿宋_GB2312"/>
              </w:rPr>
              <w:t>100.00</w:t>
            </w:r>
          </w:p>
        </w:tc>
      </w:tr>
    </w:tbl>
    <w:p>
      <w:pPr>
        <w:pStyle w:val="3"/>
        <w:spacing w:before="120" w:beforeLines="50" w:afterLines="50" w:line="580" w:lineRule="exact"/>
        <w:rPr>
          <w:rFonts w:ascii="Times New Roman" w:hAnsi="Times New Roman" w:eastAsia="仿宋_GB2312"/>
        </w:rPr>
      </w:pPr>
      <w:bookmarkStart w:id="29" w:name="_Toc341175016"/>
      <w:bookmarkStart w:id="30" w:name="_Toc65568801"/>
      <w:bookmarkStart w:id="31" w:name="_Toc68612187"/>
      <w:r>
        <w:rPr>
          <w:rFonts w:ascii="Times New Roman" w:hAnsi="Times New Roman" w:eastAsia="仿宋_GB2312"/>
        </w:rPr>
        <w:t>2.2社会经济现状</w:t>
      </w:r>
      <w:bookmarkEnd w:id="29"/>
      <w:bookmarkEnd w:id="30"/>
      <w:bookmarkEnd w:id="31"/>
    </w:p>
    <w:p>
      <w:pPr>
        <w:pStyle w:val="91"/>
        <w:spacing w:before="0" w:after="0" w:line="580" w:lineRule="exact"/>
        <w:ind w:left="0" w:leftChars="0" w:firstLine="562" w:firstLineChars="200"/>
        <w:rPr>
          <w:rFonts w:eastAsia="仿宋_GB2312"/>
          <w:color w:val="auto"/>
        </w:rPr>
      </w:pPr>
      <w:bookmarkStart w:id="32" w:name="_Toc68612188"/>
      <w:r>
        <w:rPr>
          <w:rFonts w:eastAsia="仿宋_GB2312"/>
          <w:color w:val="auto"/>
        </w:rPr>
        <w:t>2.2.1行政区划与人口</w:t>
      </w:r>
      <w:bookmarkEnd w:id="32"/>
    </w:p>
    <w:p>
      <w:pPr>
        <w:spacing w:line="580" w:lineRule="exact"/>
        <w:ind w:firstLine="560"/>
        <w:rPr>
          <w:rFonts w:ascii="Times New Roman" w:hAnsi="Times New Roman" w:eastAsia="仿宋_GB2312"/>
          <w:snapToGrid w:val="0"/>
          <w:kern w:val="0"/>
          <w:sz w:val="28"/>
          <w:szCs w:val="28"/>
        </w:rPr>
      </w:pPr>
      <w:bookmarkStart w:id="33" w:name="_Hlk38630889"/>
      <w:r>
        <w:rPr>
          <w:rFonts w:ascii="Times New Roman" w:hAnsi="Times New Roman" w:eastAsia="仿宋_GB2312"/>
          <w:snapToGrid w:val="0"/>
          <w:kern w:val="0"/>
          <w:sz w:val="28"/>
          <w:szCs w:val="28"/>
        </w:rPr>
        <w:t>临安区辖5个街道、13个镇，分别为锦城街道、玲珑街道、青山湖街道、锦南街道、锦北街道、板桥镇、高虹镇、太湖源镇、於潜镇、天目山镇、太阳镇、潜川镇、昌化镇、龙岗镇、河桥镇、湍口镇、清凉峰镇、岛石镇。</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2019年，临安区年末户籍人口53.95万人，比上年末增加1874人，其中男性人口26.75万人，女性人口27.20万人，男女性别比为 98.34（以女性为100）。全区人口出生率9.2‰，死亡率5.4‰，自然增长率3.8‰。根据2019年5‰人口变动情况抽样调查结果推算，2019年末全区常住人口59.60万人。</w:t>
      </w:r>
    </w:p>
    <w:bookmarkEnd w:id="33"/>
    <w:p>
      <w:pPr>
        <w:pStyle w:val="91"/>
        <w:spacing w:before="0" w:after="0" w:line="580" w:lineRule="exact"/>
        <w:ind w:left="0" w:leftChars="0" w:firstLine="562" w:firstLineChars="200"/>
        <w:rPr>
          <w:rFonts w:eastAsia="仿宋_GB2312"/>
          <w:color w:val="auto"/>
        </w:rPr>
      </w:pPr>
      <w:bookmarkStart w:id="34" w:name="_Toc68612189"/>
      <w:r>
        <w:rPr>
          <w:rFonts w:eastAsia="仿宋_GB2312"/>
          <w:color w:val="auto"/>
        </w:rPr>
        <w:t>2.2.2经济概况</w:t>
      </w:r>
      <w:bookmarkEnd w:id="34"/>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根据《2019年杭州市临安区国民经济和社会发展统计公报》，全年实现地区生产总值572.94亿元，按可比价格计算，比上年增长8.0%。其中第一产业增加值45.86亿元，第二产业增加值257.28亿元，第三产业增加值269.81亿元，分别增长2.8%、7.8%和9.5%，三次产业占比为8.0:44.9:47.1。全区按户籍人口计算人均GDP为106389元(按年平均汇率折算为15422美元)，按可比价比上年增长7.6%。根据抽样调查，城镇常住居民人均可支配收入57296元，比上年增长8.0%，人均消费支出37401元，增长2.3%。</w:t>
      </w:r>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全年完成财政总收入101.93亿元，比上年增长15.2%；一般公共预算收入61.16亿元，比上年增长15.0%（按同口径比）。</w:t>
      </w:r>
      <w:bookmarkStart w:id="35" w:name="_Hlk65771031"/>
      <w:r>
        <w:rPr>
          <w:rFonts w:hint="eastAsia" w:ascii="Times New Roman" w:hAnsi="Times New Roman" w:eastAsia="仿宋_GB2312"/>
          <w:snapToGrid w:val="0"/>
          <w:kern w:val="0"/>
          <w:sz w:val="28"/>
          <w:szCs w:val="28"/>
        </w:rPr>
        <w:t>全年实现农业增加值46.39亿元，按可比价格计算比上年增长2.9%。完成农业总产值66.85亿元，增长7.5%，其中：农业种植业（含坚果类）产值32.6亿元，增长5.1%；林业（不含坚果类）产值21.55亿元，增长5.4%；牧业产值10.37亿元，增长20.5%；渔业产值0.84亿元，增长0.2%；农业服务业产值1.48亿元，增长16%。</w:t>
      </w:r>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2019年，全区有规模以上工业企业618家。工业产品产销衔接良好，全年规模工业企业产销率为98.7%，规模工业新产品产值率达到43.9%，比上年同期提高5.5个百分点。完成规模工业增加值158.2亿元，按可比价比上年增长8.8%。工业中，高新技术产业增加值占规模工业增加值的70.1%，比上年同期提高3.7个百分点。实现规模工业企业利税总额92.32亿元，比上年增长16.9%，其中利润总额67.64亿元，增长24.5%。</w:t>
      </w:r>
    </w:p>
    <w:bookmarkEnd w:id="35"/>
    <w:p>
      <w:pPr>
        <w:pStyle w:val="3"/>
        <w:spacing w:before="120" w:beforeLines="50" w:afterLines="50" w:line="580" w:lineRule="exact"/>
        <w:rPr>
          <w:rFonts w:ascii="Times New Roman" w:hAnsi="Times New Roman" w:eastAsia="仿宋_GB2312"/>
        </w:rPr>
      </w:pPr>
      <w:bookmarkStart w:id="36" w:name="_Toc65568802"/>
      <w:bookmarkStart w:id="37" w:name="_Toc68612190"/>
      <w:r>
        <w:rPr>
          <w:rFonts w:ascii="Times New Roman" w:hAnsi="Times New Roman" w:eastAsia="仿宋_GB2312"/>
        </w:rPr>
        <w:t>2.3水资源及开发利用现状</w:t>
      </w:r>
      <w:bookmarkEnd w:id="36"/>
      <w:bookmarkEnd w:id="37"/>
    </w:p>
    <w:p>
      <w:pPr>
        <w:pStyle w:val="91"/>
        <w:spacing w:before="0" w:after="0" w:line="580" w:lineRule="exact"/>
        <w:ind w:left="0" w:leftChars="0" w:firstLine="562" w:firstLineChars="200"/>
        <w:rPr>
          <w:rFonts w:eastAsia="仿宋_GB2312"/>
          <w:color w:val="auto"/>
        </w:rPr>
      </w:pPr>
      <w:bookmarkStart w:id="38" w:name="_Toc68612191"/>
      <w:r>
        <w:rPr>
          <w:rFonts w:eastAsia="仿宋_GB2312"/>
          <w:color w:val="auto"/>
        </w:rPr>
        <w:t>2.3.1水资源量</w:t>
      </w:r>
      <w:bookmarkEnd w:id="38"/>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1961~2018年临安区多年平均降雨量1579 mm，多年平均水资源总量27.59亿m</w:t>
      </w:r>
      <w:r>
        <w:rPr>
          <w:rFonts w:ascii="Times New Roman" w:hAnsi="Times New Roman" w:eastAsia="仿宋_GB2312"/>
          <w:sz w:val="28"/>
          <w:szCs w:val="28"/>
          <w:vertAlign w:val="superscript"/>
        </w:rPr>
        <w:t>3</w:t>
      </w:r>
      <w:r>
        <w:rPr>
          <w:rFonts w:ascii="Times New Roman" w:hAnsi="Times New Roman" w:eastAsia="仿宋_GB2312"/>
          <w:sz w:val="28"/>
          <w:szCs w:val="28"/>
        </w:rPr>
        <w:t>，现状人均占有水资源量4652m</w:t>
      </w:r>
      <w:r>
        <w:rPr>
          <w:rFonts w:ascii="Times New Roman" w:hAnsi="Times New Roman" w:eastAsia="仿宋_GB2312"/>
          <w:sz w:val="28"/>
          <w:szCs w:val="28"/>
          <w:vertAlign w:val="superscript"/>
        </w:rPr>
        <w:t>3</w:t>
      </w:r>
      <w:r>
        <w:rPr>
          <w:rFonts w:ascii="Times New Roman" w:hAnsi="Times New Roman" w:eastAsia="仿宋_GB2312"/>
          <w:sz w:val="28"/>
          <w:szCs w:val="28"/>
        </w:rPr>
        <w:t>。其中东苕溪流域多年平均降雨量1533 mm，多年平均径流量6.67亿m</w:t>
      </w:r>
      <w:r>
        <w:rPr>
          <w:rFonts w:ascii="Times New Roman" w:hAnsi="Times New Roman" w:eastAsia="仿宋_GB2312"/>
          <w:sz w:val="28"/>
          <w:szCs w:val="28"/>
          <w:vertAlign w:val="superscript"/>
        </w:rPr>
        <w:t>3</w:t>
      </w:r>
      <w:r>
        <w:rPr>
          <w:rFonts w:ascii="Times New Roman" w:hAnsi="Times New Roman" w:eastAsia="仿宋_GB2312"/>
          <w:sz w:val="28"/>
          <w:szCs w:val="28"/>
        </w:rPr>
        <w:t>，现状人均占有水资源量仅为1743m</w:t>
      </w:r>
      <w:r>
        <w:rPr>
          <w:rFonts w:ascii="Times New Roman" w:hAnsi="Times New Roman" w:eastAsia="仿宋_GB2312"/>
          <w:sz w:val="28"/>
          <w:szCs w:val="28"/>
          <w:vertAlign w:val="superscript"/>
        </w:rPr>
        <w:t>3</w:t>
      </w:r>
      <w:r>
        <w:rPr>
          <w:rFonts w:ascii="Times New Roman" w:hAnsi="Times New Roman" w:eastAsia="仿宋_GB2312"/>
          <w:sz w:val="28"/>
          <w:szCs w:val="28"/>
        </w:rPr>
        <w:t>，特别是南苕</w:t>
      </w:r>
      <w:r>
        <w:rPr>
          <w:rFonts w:ascii="Times New Roman" w:hAnsi="Times New Roman" w:eastAsia="仿宋_GB2312"/>
          <w:snapToGrid w:val="0"/>
          <w:kern w:val="0"/>
          <w:sz w:val="28"/>
          <w:szCs w:val="28"/>
        </w:rPr>
        <w:t>溪流</w:t>
      </w:r>
      <w:r>
        <w:rPr>
          <w:rFonts w:ascii="Times New Roman" w:hAnsi="Times New Roman" w:eastAsia="仿宋_GB2312"/>
          <w:sz w:val="28"/>
          <w:szCs w:val="28"/>
        </w:rPr>
        <w:t>域，现状人均占有水资源量仅为1632m</w:t>
      </w:r>
      <w:r>
        <w:rPr>
          <w:rFonts w:ascii="Times New Roman" w:hAnsi="Times New Roman" w:eastAsia="仿宋_GB2312"/>
          <w:sz w:val="28"/>
          <w:szCs w:val="28"/>
          <w:vertAlign w:val="superscript"/>
        </w:rPr>
        <w:t>3</w:t>
      </w:r>
      <w:r>
        <w:rPr>
          <w:rFonts w:ascii="Times New Roman" w:hAnsi="Times New Roman" w:eastAsia="仿宋_GB2312"/>
          <w:sz w:val="28"/>
          <w:szCs w:val="28"/>
        </w:rPr>
        <w:t>。雨量时空分布不均，降水年内年际变化较大，春夏二季降雨量约占全年降雨量的70%左右，暴雨常带来洪涝灾害，秋冬二季气候干燥雨量偏少，常遇伏旱、秋寒。年径流量地区分布、年内分配和年际变化与降水量情况相似，多年平均径流深在700～1200mm之间。</w:t>
      </w:r>
    </w:p>
    <w:p>
      <w:pPr>
        <w:pStyle w:val="98"/>
        <w:spacing w:before="0" w:beforeLines="0" w:after="0" w:afterLines="0"/>
        <w:rPr>
          <w:rFonts w:ascii="Times New Roman" w:eastAsia="仿宋_GB2312"/>
          <w:sz w:val="24"/>
          <w:szCs w:val="24"/>
        </w:rPr>
      </w:pPr>
      <w:r>
        <w:rPr>
          <w:rFonts w:ascii="Times New Roman" w:eastAsia="仿宋_GB2312"/>
          <w:sz w:val="24"/>
          <w:szCs w:val="24"/>
        </w:rPr>
        <w:t>表2.3-1 临安区水资源量分布</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02"/>
        <w:gridCol w:w="1109"/>
        <w:gridCol w:w="1285"/>
        <w:gridCol w:w="1152"/>
        <w:gridCol w:w="1297"/>
        <w:gridCol w:w="1449"/>
        <w:gridCol w:w="12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color w:val="auto"/>
                <w:sz w:val="24"/>
              </w:rPr>
            </w:pPr>
            <w:r>
              <w:rPr>
                <w:rFonts w:eastAsia="仿宋_GB2312"/>
                <w:color w:val="auto"/>
                <w:sz w:val="24"/>
              </w:rPr>
              <w:t>水资源分区</w:t>
            </w:r>
          </w:p>
        </w:tc>
        <w:tc>
          <w:tcPr>
            <w:tcW w:w="605" w:type="pct"/>
            <w:vAlign w:val="center"/>
          </w:tcPr>
          <w:p>
            <w:pPr>
              <w:pStyle w:val="100"/>
              <w:spacing w:before="0" w:after="0" w:afterLines="0"/>
              <w:rPr>
                <w:rFonts w:eastAsia="仿宋_GB2312"/>
                <w:color w:val="auto"/>
                <w:sz w:val="24"/>
              </w:rPr>
            </w:pPr>
            <w:r>
              <w:rPr>
                <w:rFonts w:hint="eastAsia" w:eastAsia="仿宋_GB2312"/>
                <w:color w:val="auto"/>
                <w:sz w:val="24"/>
              </w:rPr>
              <w:t>土地面积</w:t>
            </w:r>
          </w:p>
          <w:p>
            <w:pPr>
              <w:pStyle w:val="100"/>
              <w:spacing w:before="0" w:after="0" w:afterLines="0"/>
              <w:rPr>
                <w:rFonts w:eastAsia="仿宋_GB2312"/>
                <w:color w:val="auto"/>
                <w:sz w:val="24"/>
              </w:rPr>
            </w:pPr>
            <w:r>
              <w:rPr>
                <w:rFonts w:hint="eastAsia" w:eastAsia="仿宋_GB2312"/>
                <w:color w:val="auto"/>
                <w:sz w:val="24"/>
              </w:rPr>
              <w:t>（k</w:t>
            </w:r>
            <w:r>
              <w:rPr>
                <w:rFonts w:eastAsia="仿宋_GB2312"/>
                <w:color w:val="auto"/>
                <w:sz w:val="24"/>
              </w:rPr>
              <w:t>m</w:t>
            </w:r>
            <w:r>
              <w:rPr>
                <w:rFonts w:eastAsia="仿宋_GB2312"/>
                <w:color w:val="auto"/>
                <w:sz w:val="24"/>
                <w:vertAlign w:val="superscript"/>
              </w:rPr>
              <w:t>2</w:t>
            </w:r>
            <w:r>
              <w:rPr>
                <w:rFonts w:hint="eastAsia" w:eastAsia="仿宋_GB2312"/>
                <w:color w:val="auto"/>
                <w:sz w:val="24"/>
              </w:rPr>
              <w:t>）</w:t>
            </w:r>
          </w:p>
        </w:tc>
        <w:tc>
          <w:tcPr>
            <w:tcW w:w="761" w:type="pct"/>
            <w:vAlign w:val="center"/>
          </w:tcPr>
          <w:p>
            <w:pPr>
              <w:pStyle w:val="100"/>
              <w:spacing w:before="0" w:after="0" w:afterLines="0"/>
              <w:rPr>
                <w:rFonts w:eastAsia="仿宋_GB2312"/>
                <w:color w:val="auto"/>
                <w:sz w:val="24"/>
              </w:rPr>
            </w:pPr>
            <w:r>
              <w:rPr>
                <w:rFonts w:hint="eastAsia" w:eastAsia="仿宋_GB2312"/>
                <w:color w:val="auto"/>
                <w:sz w:val="24"/>
              </w:rPr>
              <w:t>常住人口（万人）</w:t>
            </w:r>
          </w:p>
        </w:tc>
        <w:tc>
          <w:tcPr>
            <w:tcW w:w="683" w:type="pct"/>
            <w:vAlign w:val="center"/>
          </w:tcPr>
          <w:p>
            <w:pPr>
              <w:pStyle w:val="100"/>
              <w:spacing w:before="0" w:after="0" w:afterLines="0"/>
              <w:rPr>
                <w:rFonts w:eastAsia="仿宋_GB2312"/>
                <w:color w:val="auto"/>
                <w:sz w:val="24"/>
              </w:rPr>
            </w:pPr>
            <w:r>
              <w:rPr>
                <w:rFonts w:hint="eastAsia" w:eastAsia="仿宋_GB2312"/>
                <w:color w:val="auto"/>
                <w:sz w:val="24"/>
              </w:rPr>
              <w:t>多年平均降水量（n</w:t>
            </w:r>
            <w:r>
              <w:rPr>
                <w:rFonts w:eastAsia="仿宋_GB2312"/>
                <w:color w:val="auto"/>
                <w:sz w:val="24"/>
              </w:rPr>
              <w:t>m</w:t>
            </w:r>
            <w:r>
              <w:rPr>
                <w:rFonts w:hint="eastAsia" w:eastAsia="仿宋_GB2312"/>
                <w:color w:val="auto"/>
                <w:sz w:val="24"/>
              </w:rPr>
              <w:t>）</w:t>
            </w:r>
          </w:p>
        </w:tc>
        <w:tc>
          <w:tcPr>
            <w:tcW w:w="768" w:type="pct"/>
            <w:vAlign w:val="center"/>
          </w:tcPr>
          <w:p>
            <w:pPr>
              <w:pStyle w:val="100"/>
              <w:spacing w:before="0" w:after="0" w:afterLines="0"/>
              <w:rPr>
                <w:rFonts w:eastAsia="仿宋_GB2312"/>
                <w:color w:val="auto"/>
                <w:sz w:val="24"/>
              </w:rPr>
            </w:pPr>
            <w:r>
              <w:rPr>
                <w:rFonts w:hint="eastAsia" w:eastAsia="仿宋_GB2312"/>
                <w:color w:val="auto"/>
                <w:sz w:val="24"/>
              </w:rPr>
              <w:t>地表水资源量</w:t>
            </w:r>
          </w:p>
          <w:p>
            <w:pPr>
              <w:pStyle w:val="100"/>
              <w:spacing w:before="0" w:after="0" w:afterLines="0"/>
              <w:jc w:val="both"/>
              <w:rPr>
                <w:rFonts w:eastAsia="仿宋_GB2312"/>
                <w:color w:val="auto"/>
                <w:sz w:val="24"/>
              </w:rPr>
            </w:pPr>
            <w:r>
              <w:rPr>
                <w:rFonts w:hint="eastAsia" w:eastAsia="仿宋_GB2312"/>
                <w:color w:val="auto"/>
                <w:sz w:val="24"/>
              </w:rPr>
              <w:t>（亿m</w:t>
            </w:r>
            <w:r>
              <w:rPr>
                <w:rFonts w:eastAsia="仿宋_GB2312"/>
                <w:color w:val="auto"/>
                <w:sz w:val="24"/>
                <w:vertAlign w:val="superscript"/>
              </w:rPr>
              <w:t>3</w:t>
            </w:r>
            <w:r>
              <w:rPr>
                <w:rFonts w:hint="eastAsia" w:eastAsia="仿宋_GB2312"/>
                <w:color w:val="auto"/>
                <w:sz w:val="24"/>
              </w:rPr>
              <w:t>）</w:t>
            </w:r>
          </w:p>
        </w:tc>
        <w:tc>
          <w:tcPr>
            <w:tcW w:w="857" w:type="pct"/>
            <w:vAlign w:val="center"/>
          </w:tcPr>
          <w:p>
            <w:pPr>
              <w:pStyle w:val="100"/>
              <w:spacing w:before="0" w:after="0" w:afterLines="0"/>
              <w:rPr>
                <w:rFonts w:eastAsia="仿宋_GB2312"/>
                <w:color w:val="auto"/>
                <w:sz w:val="24"/>
              </w:rPr>
            </w:pPr>
            <w:r>
              <w:rPr>
                <w:rFonts w:hint="eastAsia" w:eastAsia="仿宋_GB2312"/>
                <w:color w:val="auto"/>
                <w:sz w:val="24"/>
              </w:rPr>
              <w:t>水资源总</w:t>
            </w:r>
          </w:p>
          <w:p>
            <w:pPr>
              <w:pStyle w:val="100"/>
              <w:spacing w:before="0" w:after="0" w:afterLines="0"/>
              <w:rPr>
                <w:rFonts w:eastAsia="仿宋_GB2312"/>
                <w:color w:val="auto"/>
                <w:sz w:val="24"/>
              </w:rPr>
            </w:pPr>
            <w:r>
              <w:rPr>
                <w:rFonts w:hint="eastAsia" w:eastAsia="仿宋_GB2312"/>
                <w:color w:val="auto"/>
                <w:sz w:val="24"/>
              </w:rPr>
              <w:t>（亿m</w:t>
            </w:r>
            <w:r>
              <w:rPr>
                <w:rFonts w:eastAsia="仿宋_GB2312"/>
                <w:color w:val="auto"/>
                <w:sz w:val="24"/>
                <w:vertAlign w:val="superscript"/>
              </w:rPr>
              <w:t>3</w:t>
            </w:r>
            <w:r>
              <w:rPr>
                <w:rFonts w:hint="eastAsia" w:eastAsia="仿宋_GB2312"/>
                <w:color w:val="auto"/>
                <w:sz w:val="24"/>
              </w:rPr>
              <w:t>）</w:t>
            </w:r>
          </w:p>
        </w:tc>
        <w:tc>
          <w:tcPr>
            <w:tcW w:w="731" w:type="pct"/>
            <w:vAlign w:val="center"/>
          </w:tcPr>
          <w:p>
            <w:pPr>
              <w:pStyle w:val="100"/>
              <w:spacing w:before="0" w:after="0" w:afterLines="0"/>
              <w:rPr>
                <w:rFonts w:eastAsia="仿宋_GB2312"/>
                <w:color w:val="auto"/>
                <w:sz w:val="24"/>
              </w:rPr>
            </w:pPr>
            <w:r>
              <w:rPr>
                <w:rFonts w:hint="eastAsia" w:eastAsia="仿宋_GB2312"/>
                <w:color w:val="auto"/>
                <w:sz w:val="24"/>
              </w:rPr>
              <w:t>人均占有水资源量</w:t>
            </w:r>
          </w:p>
          <w:p>
            <w:pPr>
              <w:pStyle w:val="100"/>
              <w:spacing w:before="0" w:after="0" w:afterLines="0"/>
              <w:jc w:val="both"/>
              <w:rPr>
                <w:rFonts w:eastAsia="仿宋_GB2312"/>
                <w:color w:val="auto"/>
                <w:sz w:val="24"/>
              </w:rPr>
            </w:pPr>
            <w:r>
              <w:rPr>
                <w:rFonts w:hint="eastAsia" w:eastAsia="仿宋_GB2312"/>
                <w:color w:val="auto"/>
                <w:sz w:val="24"/>
              </w:rPr>
              <w:t>（m</w:t>
            </w:r>
            <w:r>
              <w:rPr>
                <w:rFonts w:eastAsia="仿宋_GB2312"/>
                <w:color w:val="auto"/>
                <w:sz w:val="24"/>
                <w:vertAlign w:val="superscript"/>
              </w:rPr>
              <w:t>3</w:t>
            </w:r>
            <w:r>
              <w:rPr>
                <w:rFonts w:eastAsia="仿宋_GB2312"/>
                <w:color w:val="auto"/>
                <w:sz w:val="24"/>
              </w:rPr>
              <w:t>/</w:t>
            </w:r>
            <w:r>
              <w:rPr>
                <w:rFonts w:hint="eastAsia" w:eastAsia="仿宋_GB2312"/>
                <w:color w:val="auto"/>
                <w:sz w:val="24"/>
              </w:rPr>
              <w:t>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南苕溪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6</w:t>
            </w:r>
            <w:r>
              <w:rPr>
                <w:rFonts w:eastAsia="仿宋_GB2312"/>
                <w:b w:val="0"/>
                <w:bCs/>
                <w:color w:val="auto"/>
                <w:sz w:val="24"/>
              </w:rPr>
              <w:t>60</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3</w:t>
            </w:r>
            <w:r>
              <w:rPr>
                <w:rFonts w:eastAsia="仿宋_GB2312"/>
                <w:b w:val="0"/>
                <w:bCs/>
                <w:color w:val="auto"/>
                <w:sz w:val="24"/>
              </w:rPr>
              <w:t>1.7</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500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.17</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.17</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632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中苕溪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80</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6</w:t>
            </w:r>
            <w:r>
              <w:rPr>
                <w:rFonts w:eastAsia="仿宋_GB2312"/>
                <w:b w:val="0"/>
                <w:bCs/>
                <w:color w:val="auto"/>
                <w:sz w:val="24"/>
              </w:rPr>
              <w:t>.3</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650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.46</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.46</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2</w:t>
            </w:r>
            <w:r>
              <w:rPr>
                <w:rFonts w:eastAsia="仿宋_GB2312"/>
                <w:b w:val="0"/>
                <w:bCs/>
                <w:color w:val="auto"/>
                <w:sz w:val="24"/>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北苕溪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750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.04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.04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天目溪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7</w:t>
            </w:r>
            <w:r>
              <w:rPr>
                <w:rFonts w:eastAsia="仿宋_GB2312"/>
                <w:b w:val="0"/>
                <w:bCs/>
                <w:color w:val="auto"/>
                <w:sz w:val="24"/>
              </w:rPr>
              <w:t>44</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9</w:t>
            </w:r>
            <w:r>
              <w:rPr>
                <w:rFonts w:eastAsia="仿宋_GB2312"/>
                <w:b w:val="0"/>
                <w:bCs/>
                <w:color w:val="auto"/>
                <w:sz w:val="24"/>
              </w:rPr>
              <w:t>.8</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500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.91</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.91</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6</w:t>
            </w:r>
            <w:r>
              <w:rPr>
                <w:rFonts w:eastAsia="仿宋_GB2312"/>
                <w:b w:val="0"/>
                <w:bCs/>
                <w:color w:val="auto"/>
                <w:sz w:val="24"/>
              </w:rPr>
              <w:t>027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昌化溪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349</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9</w:t>
            </w:r>
            <w:r>
              <w:rPr>
                <w:rFonts w:eastAsia="仿宋_GB2312"/>
                <w:b w:val="0"/>
                <w:bCs/>
                <w:color w:val="auto"/>
                <w:sz w:val="24"/>
              </w:rPr>
              <w:t>.6</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650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3.44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3.44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3995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分水江临安段</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4</w:t>
            </w:r>
            <w:r>
              <w:rPr>
                <w:rFonts w:eastAsia="仿宋_GB2312"/>
                <w:b w:val="0"/>
                <w:bCs/>
                <w:color w:val="auto"/>
                <w:sz w:val="24"/>
              </w:rPr>
              <w:t>8</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.8</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600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483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后溪</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0</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.2</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700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2</w:t>
            </w:r>
            <w:r>
              <w:rPr>
                <w:rFonts w:eastAsia="仿宋_GB2312"/>
                <w:b w:val="0"/>
                <w:bCs/>
                <w:color w:val="auto"/>
                <w:sz w:val="24"/>
              </w:rPr>
              <w:t>1933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三口水</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6</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.9</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500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.44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4</w:t>
            </w:r>
            <w:r>
              <w:rPr>
                <w:rFonts w:eastAsia="仿宋_GB2312"/>
                <w:b w:val="0"/>
                <w:bCs/>
                <w:color w:val="auto"/>
                <w:sz w:val="24"/>
              </w:rPr>
              <w:t>889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其他</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2</w:t>
            </w:r>
            <w:r>
              <w:rPr>
                <w:rFonts w:eastAsia="仿宋_GB2312"/>
                <w:b w:val="0"/>
                <w:bCs/>
                <w:color w:val="auto"/>
                <w:sz w:val="24"/>
              </w:rPr>
              <w:t>8</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500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.22</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.22</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汇入安徽境内</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4</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600</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.04</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0</w:t>
            </w:r>
            <w:r>
              <w:rPr>
                <w:rFonts w:eastAsia="仿宋_GB2312"/>
                <w:b w:val="0"/>
                <w:bCs/>
                <w:color w:val="auto"/>
                <w:sz w:val="24"/>
              </w:rPr>
              <w:t>.04</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9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合计</w:t>
            </w:r>
          </w:p>
        </w:tc>
        <w:tc>
          <w:tcPr>
            <w:tcW w:w="605"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3</w:t>
            </w:r>
            <w:r>
              <w:rPr>
                <w:rFonts w:eastAsia="仿宋_GB2312"/>
                <w:b w:val="0"/>
                <w:bCs/>
                <w:color w:val="auto"/>
                <w:sz w:val="24"/>
              </w:rPr>
              <w:t>124</w:t>
            </w:r>
          </w:p>
        </w:tc>
        <w:tc>
          <w:tcPr>
            <w:tcW w:w="76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5</w:t>
            </w:r>
            <w:r>
              <w:rPr>
                <w:rFonts w:eastAsia="仿宋_GB2312"/>
                <w:b w:val="0"/>
                <w:bCs/>
                <w:color w:val="auto"/>
                <w:sz w:val="24"/>
              </w:rPr>
              <w:t>9.3</w:t>
            </w:r>
          </w:p>
        </w:tc>
        <w:tc>
          <w:tcPr>
            <w:tcW w:w="683"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1</w:t>
            </w:r>
            <w:r>
              <w:rPr>
                <w:rFonts w:eastAsia="仿宋_GB2312"/>
                <w:b w:val="0"/>
                <w:bCs/>
                <w:color w:val="auto"/>
                <w:sz w:val="24"/>
              </w:rPr>
              <w:t>579</w:t>
            </w:r>
          </w:p>
        </w:tc>
        <w:tc>
          <w:tcPr>
            <w:tcW w:w="768"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2</w:t>
            </w:r>
            <w:r>
              <w:rPr>
                <w:rFonts w:eastAsia="仿宋_GB2312"/>
                <w:b w:val="0"/>
                <w:bCs/>
                <w:color w:val="auto"/>
                <w:sz w:val="24"/>
              </w:rPr>
              <w:t>7.59</w:t>
            </w:r>
          </w:p>
        </w:tc>
        <w:tc>
          <w:tcPr>
            <w:tcW w:w="857"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2</w:t>
            </w:r>
            <w:r>
              <w:rPr>
                <w:rFonts w:eastAsia="仿宋_GB2312"/>
                <w:b w:val="0"/>
                <w:bCs/>
                <w:color w:val="auto"/>
                <w:sz w:val="24"/>
              </w:rPr>
              <w:t>7.59</w:t>
            </w:r>
          </w:p>
        </w:tc>
        <w:tc>
          <w:tcPr>
            <w:tcW w:w="731" w:type="pct"/>
            <w:vAlign w:val="center"/>
          </w:tcPr>
          <w:p>
            <w:pPr>
              <w:pStyle w:val="100"/>
              <w:spacing w:before="0" w:after="0" w:afterLines="0"/>
              <w:rPr>
                <w:rFonts w:eastAsia="仿宋_GB2312"/>
                <w:b w:val="0"/>
                <w:bCs/>
                <w:color w:val="auto"/>
                <w:sz w:val="24"/>
              </w:rPr>
            </w:pPr>
            <w:r>
              <w:rPr>
                <w:rFonts w:hint="eastAsia" w:eastAsia="仿宋_GB2312"/>
                <w:b w:val="0"/>
                <w:bCs/>
                <w:color w:val="auto"/>
                <w:sz w:val="24"/>
              </w:rPr>
              <w:t>4</w:t>
            </w:r>
            <w:r>
              <w:rPr>
                <w:rFonts w:eastAsia="仿宋_GB2312"/>
                <w:b w:val="0"/>
                <w:bCs/>
                <w:color w:val="auto"/>
                <w:sz w:val="24"/>
              </w:rPr>
              <w:t>652</w:t>
            </w:r>
          </w:p>
        </w:tc>
      </w:tr>
    </w:tbl>
    <w:p>
      <w:pPr>
        <w:pStyle w:val="100"/>
        <w:spacing w:before="0" w:after="0" w:afterLines="0"/>
        <w:rPr>
          <w:rFonts w:eastAsia="仿宋_GB2312"/>
          <w:color w:val="auto"/>
        </w:rPr>
      </w:pP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临安区境内有大型水库1座：青山水库总库容2.13亿m³，正常库容3600万m³；中型水库5座：英公水库总库容3347万m³，正常库容2266万m³；里畈水库总库容2098万m³，正常库容1646万m³；水涛庄水库总库容2888万m³，正常库容1677万m³；青山殿水库总库容5600万m³，正常库容4519万m³；华光潭水库总库容8257万m³，正常库容6423万m³；另有小型水库138座，总库容6106万m³，正常库容4719万m³。这些水库对临安区防洪、灌溉、发电、供水及旅游等方面起着重大的作用。临安区主要水库情况见表2.3-2。</w:t>
      </w:r>
    </w:p>
    <w:p>
      <w:pPr>
        <w:pStyle w:val="98"/>
        <w:spacing w:before="0" w:beforeLines="0" w:after="0" w:afterLines="0"/>
        <w:rPr>
          <w:rFonts w:ascii="Times New Roman" w:eastAsia="仿宋_GB2312"/>
          <w:sz w:val="24"/>
          <w:szCs w:val="24"/>
        </w:rPr>
      </w:pPr>
      <w:r>
        <w:rPr>
          <w:rFonts w:ascii="Times New Roman" w:eastAsia="仿宋_GB2312"/>
          <w:sz w:val="24"/>
          <w:szCs w:val="24"/>
        </w:rPr>
        <w:t>表2.3-2 临安区主要水库情况</w:t>
      </w:r>
    </w:p>
    <w:tbl>
      <w:tblPr>
        <w:tblStyle w:val="31"/>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1378"/>
        <w:gridCol w:w="1377"/>
        <w:gridCol w:w="1249"/>
        <w:gridCol w:w="1289"/>
        <w:gridCol w:w="1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78"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水库名称</w:t>
            </w:r>
          </w:p>
        </w:tc>
        <w:tc>
          <w:tcPr>
            <w:tcW w:w="1378"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流域面积（</w:t>
            </w:r>
            <w:r>
              <w:rPr>
                <w:rFonts w:ascii="Times New Roman" w:hAnsi="Times New Roman" w:eastAsia="仿宋_GB2312"/>
                <w:b/>
                <w:bCs/>
                <w:spacing w:val="-5"/>
                <w:sz w:val="21"/>
                <w:szCs w:val="21"/>
              </w:rPr>
              <w:t>km²</w:t>
            </w:r>
            <w:r>
              <w:rPr>
                <w:rFonts w:ascii="Times New Roman" w:hAnsi="Times New Roman" w:eastAsia="仿宋_GB2312"/>
                <w:b/>
                <w:bCs/>
                <w:sz w:val="21"/>
                <w:szCs w:val="21"/>
              </w:rPr>
              <w:t>）</w:t>
            </w:r>
          </w:p>
        </w:tc>
        <w:tc>
          <w:tcPr>
            <w:tcW w:w="1377"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主坝尺寸坝高（</w:t>
            </w:r>
            <w:r>
              <w:rPr>
                <w:rFonts w:ascii="Times New Roman" w:hAnsi="Times New Roman" w:eastAsia="仿宋_GB2312"/>
                <w:b/>
                <w:bCs/>
                <w:spacing w:val="-5"/>
                <w:sz w:val="21"/>
                <w:szCs w:val="21"/>
              </w:rPr>
              <w:t>m</w:t>
            </w:r>
            <w:r>
              <w:rPr>
                <w:rFonts w:ascii="Times New Roman" w:hAnsi="Times New Roman" w:eastAsia="仿宋_GB2312"/>
                <w:b/>
                <w:bCs/>
                <w:sz w:val="21"/>
                <w:szCs w:val="21"/>
              </w:rPr>
              <w:t>）</w:t>
            </w:r>
          </w:p>
        </w:tc>
        <w:tc>
          <w:tcPr>
            <w:tcW w:w="1249"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正常蓄水位（</w:t>
            </w:r>
            <w:r>
              <w:rPr>
                <w:rFonts w:ascii="Times New Roman" w:hAnsi="Times New Roman" w:eastAsia="仿宋_GB2312"/>
                <w:b/>
                <w:bCs/>
                <w:spacing w:val="-5"/>
                <w:sz w:val="21"/>
                <w:szCs w:val="21"/>
              </w:rPr>
              <w:t>m</w:t>
            </w:r>
            <w:r>
              <w:rPr>
                <w:rFonts w:ascii="Times New Roman" w:hAnsi="Times New Roman" w:eastAsia="仿宋_GB2312"/>
                <w:b/>
                <w:bCs/>
                <w:sz w:val="21"/>
                <w:szCs w:val="21"/>
              </w:rPr>
              <w:t>）</w:t>
            </w:r>
          </w:p>
        </w:tc>
        <w:tc>
          <w:tcPr>
            <w:tcW w:w="1289"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总库容</w:t>
            </w:r>
          </w:p>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w:t>
            </w:r>
            <w:r>
              <w:rPr>
                <w:rFonts w:ascii="Times New Roman" w:hAnsi="Times New Roman" w:eastAsia="仿宋_GB2312"/>
                <w:b/>
                <w:bCs/>
                <w:spacing w:val="-5"/>
                <w:sz w:val="21"/>
                <w:szCs w:val="21"/>
              </w:rPr>
              <w:t>亿 m</w:t>
            </w:r>
            <w:r>
              <w:rPr>
                <w:rFonts w:ascii="Times New Roman" w:hAnsi="Times New Roman" w:eastAsia="仿宋_GB2312"/>
                <w:b/>
                <w:bCs/>
                <w:spacing w:val="-5"/>
                <w:sz w:val="21"/>
                <w:szCs w:val="21"/>
                <w:vertAlign w:val="superscript"/>
              </w:rPr>
              <w:t>3</w:t>
            </w:r>
            <w:r>
              <w:rPr>
                <w:rFonts w:ascii="Times New Roman" w:hAnsi="Times New Roman" w:eastAsia="仿宋_GB2312"/>
                <w:b/>
                <w:bCs/>
                <w:sz w:val="21"/>
                <w:szCs w:val="21"/>
              </w:rPr>
              <w:t>）</w:t>
            </w:r>
          </w:p>
        </w:tc>
        <w:tc>
          <w:tcPr>
            <w:tcW w:w="1379"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所在乡镇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青山水库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603</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24.1</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23.16</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2.126</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青山湖街道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里畈水库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83</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72</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234.7</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0.2094</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太湖源镇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水涛庄水库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58</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60</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141.17</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0.2888</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高虹镇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英公水库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81.3</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53</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166.1</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0.3347</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於潜镇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青山殿水库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1429</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47</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87.07</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0.56</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潜川镇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华光潭一级</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266.1</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103.85</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444.0</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0.8257</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龙岗镇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华光潭二级</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350.7</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38</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227.7</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0.036</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龙岗镇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双溪口水库</w:t>
            </w:r>
          </w:p>
        </w:tc>
        <w:tc>
          <w:tcPr>
            <w:tcW w:w="1378"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80</w:t>
            </w:r>
          </w:p>
        </w:tc>
        <w:tc>
          <w:tcPr>
            <w:tcW w:w="1377"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74.5</w:t>
            </w:r>
          </w:p>
        </w:tc>
        <w:tc>
          <w:tcPr>
            <w:tcW w:w="124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325.0</w:t>
            </w:r>
          </w:p>
        </w:tc>
        <w:tc>
          <w:tcPr>
            <w:tcW w:w="128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0.2915</w:t>
            </w:r>
          </w:p>
        </w:tc>
        <w:tc>
          <w:tcPr>
            <w:tcW w:w="137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清凉峰镇</w:t>
            </w:r>
          </w:p>
        </w:tc>
      </w:tr>
    </w:tbl>
    <w:p>
      <w:pPr>
        <w:pStyle w:val="91"/>
        <w:spacing w:before="0" w:after="0" w:line="580" w:lineRule="exact"/>
        <w:ind w:left="0" w:leftChars="0" w:firstLine="562" w:firstLineChars="200"/>
        <w:rPr>
          <w:rFonts w:eastAsia="仿宋_GB2312"/>
          <w:color w:val="auto"/>
        </w:rPr>
      </w:pPr>
      <w:bookmarkStart w:id="39" w:name="_Toc320523819"/>
      <w:bookmarkStart w:id="40" w:name="_Toc309305085"/>
      <w:bookmarkStart w:id="41" w:name="_Toc341175027"/>
      <w:bookmarkStart w:id="42" w:name="_Toc68612192"/>
      <w:r>
        <w:rPr>
          <w:rFonts w:eastAsia="仿宋_GB2312"/>
          <w:color w:val="auto"/>
        </w:rPr>
        <w:t>2.3.2水资源利用现状</w:t>
      </w:r>
      <w:bookmarkEnd w:id="39"/>
      <w:bookmarkEnd w:id="40"/>
      <w:bookmarkEnd w:id="41"/>
      <w:bookmarkEnd w:id="42"/>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（1）供水量</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w:t>
      </w:r>
      <w:r>
        <w:rPr>
          <w:rFonts w:ascii="Times New Roman" w:hAnsi="Times New Roman" w:eastAsia="仿宋_GB2312"/>
          <w:sz w:val="28"/>
          <w:szCs w:val="28"/>
        </w:rPr>
        <w:t>019</w:t>
      </w:r>
      <w:r>
        <w:rPr>
          <w:rFonts w:hint="eastAsia" w:ascii="Times New Roman" w:hAnsi="Times New Roman" w:eastAsia="仿宋_GB2312"/>
          <w:sz w:val="28"/>
          <w:szCs w:val="28"/>
        </w:rPr>
        <w:t>年临安区总供水量为2</w:t>
      </w:r>
      <w:r>
        <w:rPr>
          <w:rFonts w:ascii="Times New Roman" w:hAnsi="Times New Roman" w:eastAsia="仿宋_GB2312"/>
          <w:sz w:val="28"/>
          <w:szCs w:val="28"/>
        </w:rPr>
        <w:t>.4243</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，其中地表水源供水量为2</w:t>
      </w:r>
      <w:r>
        <w:rPr>
          <w:rFonts w:ascii="Times New Roman" w:hAnsi="Times New Roman" w:eastAsia="仿宋_GB2312"/>
          <w:sz w:val="28"/>
          <w:szCs w:val="28"/>
        </w:rPr>
        <w:t>.4024</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 xml:space="preserve">，占总供水量的 </w:t>
      </w:r>
      <w:r>
        <w:rPr>
          <w:rFonts w:ascii="Times New Roman" w:hAnsi="Times New Roman" w:eastAsia="仿宋_GB2312"/>
          <w:sz w:val="28"/>
          <w:szCs w:val="28"/>
        </w:rPr>
        <w:t>99.1</w:t>
      </w:r>
      <w:r>
        <w:rPr>
          <w:rFonts w:hint="eastAsia" w:ascii="Times New Roman" w:hAnsi="Times New Roman" w:eastAsia="仿宋_GB2312"/>
          <w:sz w:val="28"/>
          <w:szCs w:val="28"/>
        </w:rPr>
        <w:t>%；地下水源供水量为0</w:t>
      </w:r>
      <w:r>
        <w:rPr>
          <w:rFonts w:ascii="Times New Roman" w:hAnsi="Times New Roman" w:eastAsia="仿宋_GB2312"/>
          <w:sz w:val="28"/>
          <w:szCs w:val="28"/>
        </w:rPr>
        <w:t>.0196</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，占总供水量的0</w:t>
      </w:r>
      <w:r>
        <w:rPr>
          <w:rFonts w:ascii="Times New Roman" w:hAnsi="Times New Roman" w:eastAsia="仿宋_GB2312"/>
          <w:sz w:val="28"/>
          <w:szCs w:val="28"/>
        </w:rPr>
        <w:t>.9</w:t>
      </w:r>
      <w:r>
        <w:rPr>
          <w:rFonts w:hint="eastAsia" w:ascii="Times New Roman" w:hAnsi="Times New Roman" w:eastAsia="仿宋_GB2312"/>
          <w:sz w:val="28"/>
          <w:szCs w:val="28"/>
        </w:rPr>
        <w:t>%</w:t>
      </w:r>
      <w:r>
        <w:rPr>
          <w:rFonts w:ascii="Times New Roman" w:hAnsi="Times New Roman" w:eastAsia="仿宋_GB2312"/>
          <w:sz w:val="28"/>
          <w:szCs w:val="28"/>
        </w:rPr>
        <w:t>。</w:t>
      </w:r>
      <w:r>
        <w:rPr>
          <w:rFonts w:hint="eastAsia" w:ascii="Times New Roman" w:hAnsi="Times New Roman" w:eastAsia="仿宋_GB2312"/>
          <w:sz w:val="28"/>
          <w:szCs w:val="28"/>
        </w:rPr>
        <w:t>在地表水源供水量中，蓄水工程供水量为0</w:t>
      </w:r>
      <w:r>
        <w:rPr>
          <w:rFonts w:ascii="Times New Roman" w:hAnsi="Times New Roman" w:eastAsia="仿宋_GB2312"/>
          <w:sz w:val="28"/>
          <w:szCs w:val="28"/>
        </w:rPr>
        <w:t>.5351</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，占供水量的2</w:t>
      </w:r>
      <w:r>
        <w:rPr>
          <w:rFonts w:ascii="Times New Roman" w:hAnsi="Times New Roman" w:eastAsia="仿宋_GB2312"/>
          <w:sz w:val="28"/>
          <w:szCs w:val="28"/>
        </w:rPr>
        <w:t>2.29</w:t>
      </w:r>
      <w:r>
        <w:rPr>
          <w:rFonts w:hint="eastAsia" w:ascii="Times New Roman" w:hAnsi="Times New Roman" w:eastAsia="仿宋_GB2312"/>
          <w:sz w:val="28"/>
          <w:szCs w:val="28"/>
        </w:rPr>
        <w:t>%；引水工程供水量为1</w:t>
      </w:r>
      <w:r>
        <w:rPr>
          <w:rFonts w:ascii="Times New Roman" w:hAnsi="Times New Roman" w:eastAsia="仿宋_GB2312"/>
          <w:sz w:val="28"/>
          <w:szCs w:val="28"/>
        </w:rPr>
        <w:t>.1147</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，占4</w:t>
      </w:r>
      <w:r>
        <w:rPr>
          <w:rFonts w:ascii="Times New Roman" w:hAnsi="Times New Roman" w:eastAsia="仿宋_GB2312"/>
          <w:sz w:val="28"/>
          <w:szCs w:val="28"/>
        </w:rPr>
        <w:t>6.4</w:t>
      </w:r>
      <w:r>
        <w:rPr>
          <w:rFonts w:hint="eastAsia" w:ascii="Times New Roman" w:hAnsi="Times New Roman" w:eastAsia="仿宋_GB2312"/>
          <w:sz w:val="28"/>
          <w:szCs w:val="28"/>
        </w:rPr>
        <w:t>%；提水工程供水量为0</w:t>
      </w:r>
      <w:r>
        <w:rPr>
          <w:rFonts w:ascii="Times New Roman" w:hAnsi="Times New Roman" w:eastAsia="仿宋_GB2312"/>
          <w:sz w:val="28"/>
          <w:szCs w:val="28"/>
        </w:rPr>
        <w:t>.7526</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，占3</w:t>
      </w:r>
      <w:r>
        <w:rPr>
          <w:rFonts w:ascii="Times New Roman" w:hAnsi="Times New Roman" w:eastAsia="仿宋_GB2312"/>
          <w:sz w:val="28"/>
          <w:szCs w:val="28"/>
        </w:rPr>
        <w:t>1.3</w:t>
      </w:r>
      <w:r>
        <w:rPr>
          <w:rFonts w:hint="eastAsia" w:ascii="Times New Roman" w:hAnsi="Times New Roman" w:eastAsia="仿宋_GB2312"/>
          <w:sz w:val="28"/>
          <w:szCs w:val="28"/>
        </w:rPr>
        <w:t>%。提水和引水工程供水是临安区主要的供水方式。</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（2）用水量</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w:t>
      </w:r>
      <w:r>
        <w:rPr>
          <w:rFonts w:ascii="Times New Roman" w:hAnsi="Times New Roman" w:eastAsia="仿宋_GB2312"/>
          <w:sz w:val="28"/>
          <w:szCs w:val="28"/>
        </w:rPr>
        <w:t>019</w:t>
      </w:r>
      <w:r>
        <w:rPr>
          <w:rFonts w:hint="eastAsia" w:ascii="Times New Roman" w:hAnsi="Times New Roman" w:eastAsia="仿宋_GB2312"/>
          <w:sz w:val="28"/>
          <w:szCs w:val="28"/>
        </w:rPr>
        <w:t>年临安区总用水量为2</w:t>
      </w:r>
      <w:r>
        <w:rPr>
          <w:rFonts w:ascii="Times New Roman" w:hAnsi="Times New Roman" w:eastAsia="仿宋_GB2312"/>
          <w:sz w:val="28"/>
          <w:szCs w:val="28"/>
        </w:rPr>
        <w:t>.4243</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，与供水量等额，其中农田灌溉用水量为1</w:t>
      </w:r>
      <w:r>
        <w:rPr>
          <w:rFonts w:ascii="Times New Roman" w:hAnsi="Times New Roman" w:eastAsia="仿宋_GB2312"/>
          <w:sz w:val="28"/>
          <w:szCs w:val="28"/>
        </w:rPr>
        <w:t>.0622</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、林牧渔畜用水量为0</w:t>
      </w:r>
      <w:r>
        <w:rPr>
          <w:rFonts w:ascii="Times New Roman" w:hAnsi="Times New Roman" w:eastAsia="仿宋_GB2312"/>
          <w:sz w:val="28"/>
          <w:szCs w:val="28"/>
        </w:rPr>
        <w:t>.0525</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、工业用水量为0</w:t>
      </w:r>
      <w:r>
        <w:rPr>
          <w:rFonts w:ascii="Times New Roman" w:hAnsi="Times New Roman" w:eastAsia="仿宋_GB2312"/>
          <w:sz w:val="28"/>
          <w:szCs w:val="28"/>
        </w:rPr>
        <w:t>.6240</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、城镇公共用水量为0</w:t>
      </w:r>
      <w:r>
        <w:rPr>
          <w:rFonts w:ascii="Times New Roman" w:hAnsi="Times New Roman" w:eastAsia="仿宋_GB2312"/>
          <w:sz w:val="28"/>
          <w:szCs w:val="28"/>
        </w:rPr>
        <w:t>.2472</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、居民生活用水量为0</w:t>
      </w:r>
      <w:r>
        <w:rPr>
          <w:rFonts w:ascii="Times New Roman" w:hAnsi="Times New Roman" w:eastAsia="仿宋_GB2312"/>
          <w:sz w:val="28"/>
          <w:szCs w:val="28"/>
        </w:rPr>
        <w:t>.3240</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、生态与环境用水量为0</w:t>
      </w:r>
      <w:r>
        <w:rPr>
          <w:rFonts w:ascii="Times New Roman" w:hAnsi="Times New Roman" w:eastAsia="仿宋_GB2312"/>
          <w:sz w:val="28"/>
          <w:szCs w:val="28"/>
        </w:rPr>
        <w:t>.1144</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。农业用水占临安用水总量的比重较大。</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（3）耗水量</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w:t>
      </w:r>
      <w:r>
        <w:rPr>
          <w:rFonts w:ascii="Times New Roman" w:hAnsi="Times New Roman" w:eastAsia="仿宋_GB2312"/>
          <w:sz w:val="28"/>
          <w:szCs w:val="28"/>
        </w:rPr>
        <w:t>019</w:t>
      </w:r>
      <w:r>
        <w:rPr>
          <w:rFonts w:hint="eastAsia" w:ascii="Times New Roman" w:hAnsi="Times New Roman" w:eastAsia="仿宋_GB2312"/>
          <w:sz w:val="28"/>
          <w:szCs w:val="28"/>
        </w:rPr>
        <w:t>年临安区总耗水量为1</w:t>
      </w:r>
      <w:r>
        <w:rPr>
          <w:rFonts w:ascii="Times New Roman" w:hAnsi="Times New Roman" w:eastAsia="仿宋_GB2312"/>
          <w:sz w:val="28"/>
          <w:szCs w:val="28"/>
        </w:rPr>
        <w:t>.3878</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，平均耗水率为5</w:t>
      </w:r>
      <w:r>
        <w:rPr>
          <w:rFonts w:ascii="Times New Roman" w:hAnsi="Times New Roman" w:eastAsia="仿宋_GB2312"/>
          <w:sz w:val="28"/>
          <w:szCs w:val="28"/>
        </w:rPr>
        <w:t>6.4</w:t>
      </w:r>
      <w:r>
        <w:rPr>
          <w:rFonts w:hint="eastAsia" w:ascii="Times New Roman" w:hAnsi="Times New Roman" w:eastAsia="仿宋_GB2312"/>
          <w:sz w:val="28"/>
          <w:szCs w:val="28"/>
        </w:rPr>
        <w:t>%。其中农田灌溉耗水量为</w:t>
      </w:r>
      <w:r>
        <w:rPr>
          <w:rFonts w:ascii="Times New Roman" w:hAnsi="Times New Roman" w:eastAsia="仿宋_GB2312"/>
          <w:sz w:val="28"/>
          <w:szCs w:val="28"/>
        </w:rPr>
        <w:t>0.7533</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，平均耗水率为8</w:t>
      </w:r>
      <w:r>
        <w:rPr>
          <w:rFonts w:ascii="Times New Roman" w:hAnsi="Times New Roman" w:eastAsia="仿宋_GB2312"/>
          <w:sz w:val="28"/>
          <w:szCs w:val="28"/>
        </w:rPr>
        <w:t>3.37</w:t>
      </w:r>
      <w:r>
        <w:rPr>
          <w:rFonts w:hint="eastAsia" w:ascii="Times New Roman" w:hAnsi="Times New Roman" w:eastAsia="仿宋_GB2312"/>
          <w:sz w:val="28"/>
          <w:szCs w:val="28"/>
        </w:rPr>
        <w:t>%；林牧渔畜耗水量为</w:t>
      </w:r>
      <w:r>
        <w:rPr>
          <w:rFonts w:ascii="Times New Roman" w:hAnsi="Times New Roman" w:eastAsia="仿宋_GB2312"/>
          <w:sz w:val="28"/>
          <w:szCs w:val="28"/>
        </w:rPr>
        <w:t>0.0447</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，平均耗水率为8</w:t>
      </w:r>
      <w:r>
        <w:rPr>
          <w:rFonts w:ascii="Times New Roman" w:hAnsi="Times New Roman" w:eastAsia="仿宋_GB2312"/>
          <w:sz w:val="28"/>
          <w:szCs w:val="28"/>
        </w:rPr>
        <w:t>5.2</w:t>
      </w:r>
      <w:r>
        <w:rPr>
          <w:rFonts w:hint="eastAsia" w:ascii="Times New Roman" w:hAnsi="Times New Roman" w:eastAsia="仿宋_GB2312"/>
          <w:sz w:val="28"/>
          <w:szCs w:val="28"/>
        </w:rPr>
        <w:t>%；工业耗水量为</w:t>
      </w:r>
      <w:r>
        <w:rPr>
          <w:rFonts w:ascii="Times New Roman" w:hAnsi="Times New Roman" w:eastAsia="仿宋_GB2312"/>
          <w:sz w:val="28"/>
          <w:szCs w:val="28"/>
        </w:rPr>
        <w:t>0.2032</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，平均耗水率为6</w:t>
      </w:r>
      <w:r>
        <w:rPr>
          <w:rFonts w:ascii="Times New Roman" w:hAnsi="Times New Roman" w:eastAsia="仿宋_GB2312"/>
          <w:sz w:val="28"/>
          <w:szCs w:val="28"/>
        </w:rPr>
        <w:t>1.1</w:t>
      </w:r>
      <w:r>
        <w:rPr>
          <w:rFonts w:hint="eastAsia" w:ascii="Times New Roman" w:hAnsi="Times New Roman" w:eastAsia="仿宋_GB2312"/>
          <w:sz w:val="28"/>
          <w:szCs w:val="28"/>
        </w:rPr>
        <w:t>%；城镇公共耗水量为</w:t>
      </w:r>
      <w:r>
        <w:rPr>
          <w:rFonts w:ascii="Times New Roman" w:hAnsi="Times New Roman" w:eastAsia="仿宋_GB2312"/>
          <w:sz w:val="28"/>
          <w:szCs w:val="28"/>
        </w:rPr>
        <w:t>0.125</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，平均耗水率为5</w:t>
      </w:r>
      <w:r>
        <w:rPr>
          <w:rFonts w:ascii="Times New Roman" w:hAnsi="Times New Roman" w:eastAsia="仿宋_GB2312"/>
          <w:sz w:val="28"/>
          <w:szCs w:val="28"/>
        </w:rPr>
        <w:t>0.1</w:t>
      </w:r>
      <w:r>
        <w:rPr>
          <w:rFonts w:hint="eastAsia" w:ascii="Times New Roman" w:hAnsi="Times New Roman" w:eastAsia="仿宋_GB2312"/>
          <w:sz w:val="28"/>
          <w:szCs w:val="28"/>
        </w:rPr>
        <w:t>%；居民生活耗水量为</w:t>
      </w:r>
      <w:r>
        <w:rPr>
          <w:rFonts w:ascii="Times New Roman" w:hAnsi="Times New Roman" w:eastAsia="仿宋_GB2312"/>
          <w:sz w:val="28"/>
          <w:szCs w:val="28"/>
        </w:rPr>
        <w:t>0.1657</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，平均耗水率为5</w:t>
      </w:r>
      <w:r>
        <w:rPr>
          <w:rFonts w:ascii="Times New Roman" w:hAnsi="Times New Roman" w:eastAsia="仿宋_GB2312"/>
          <w:sz w:val="28"/>
          <w:szCs w:val="28"/>
        </w:rPr>
        <w:t>2</w:t>
      </w:r>
      <w:r>
        <w:rPr>
          <w:rFonts w:hint="eastAsia" w:ascii="Times New Roman" w:hAnsi="Times New Roman" w:eastAsia="仿宋_GB2312"/>
          <w:sz w:val="28"/>
          <w:szCs w:val="28"/>
        </w:rPr>
        <w:t>.</w:t>
      </w:r>
      <w:r>
        <w:rPr>
          <w:rFonts w:ascii="Times New Roman" w:hAnsi="Times New Roman" w:eastAsia="仿宋_GB2312"/>
          <w:sz w:val="28"/>
          <w:szCs w:val="28"/>
        </w:rPr>
        <w:t>5</w:t>
      </w:r>
      <w:r>
        <w:rPr>
          <w:rFonts w:hint="eastAsia" w:ascii="Times New Roman" w:hAnsi="Times New Roman" w:eastAsia="仿宋_GB2312"/>
          <w:sz w:val="28"/>
          <w:szCs w:val="28"/>
        </w:rPr>
        <w:t>%；生态与环境补水耗水量为</w:t>
      </w:r>
      <w:r>
        <w:rPr>
          <w:rFonts w:ascii="Times New Roman" w:hAnsi="Times New Roman" w:eastAsia="仿宋_GB2312"/>
          <w:sz w:val="28"/>
          <w:szCs w:val="28"/>
        </w:rPr>
        <w:t>0.0998</w:t>
      </w:r>
      <w:r>
        <w:rPr>
          <w:rFonts w:hint="eastAsia" w:ascii="Times New Roman" w:hAnsi="Times New Roman" w:eastAsia="仿宋_GB2312"/>
          <w:sz w:val="28"/>
          <w:szCs w:val="28"/>
        </w:rPr>
        <w:t>亿m</w:t>
      </w:r>
      <w:r>
        <w:rPr>
          <w:rFonts w:ascii="Times New Roman" w:hAnsi="Times New Roman" w:eastAsia="仿宋_GB2312"/>
          <w:sz w:val="28"/>
          <w:szCs w:val="28"/>
          <w:vertAlign w:val="superscript"/>
        </w:rPr>
        <w:t>3</w:t>
      </w:r>
      <w:r>
        <w:rPr>
          <w:rFonts w:hint="eastAsia" w:ascii="Times New Roman" w:hAnsi="Times New Roman" w:eastAsia="仿宋_GB2312"/>
          <w:sz w:val="28"/>
          <w:szCs w:val="28"/>
        </w:rPr>
        <w:t>，平均耗水率为8</w:t>
      </w:r>
      <w:r>
        <w:rPr>
          <w:rFonts w:ascii="Times New Roman" w:hAnsi="Times New Roman" w:eastAsia="仿宋_GB2312"/>
          <w:sz w:val="28"/>
          <w:szCs w:val="28"/>
        </w:rPr>
        <w:t>5.1</w:t>
      </w:r>
      <w:r>
        <w:rPr>
          <w:rFonts w:hint="eastAsia" w:ascii="Times New Roman" w:hAnsi="Times New Roman" w:eastAsia="仿宋_GB2312"/>
          <w:sz w:val="28"/>
          <w:szCs w:val="28"/>
        </w:rPr>
        <w:t>%。</w:t>
      </w:r>
    </w:p>
    <w:p>
      <w:pPr>
        <w:pStyle w:val="91"/>
        <w:spacing w:before="0" w:after="0" w:line="580" w:lineRule="exact"/>
        <w:ind w:left="0" w:leftChars="0" w:firstLine="562" w:firstLineChars="200"/>
        <w:rPr>
          <w:rFonts w:eastAsia="仿宋_GB2312"/>
          <w:color w:val="auto"/>
        </w:rPr>
      </w:pPr>
      <w:bookmarkStart w:id="43" w:name="_Toc68612193"/>
      <w:r>
        <w:rPr>
          <w:rFonts w:eastAsia="仿宋_GB2312"/>
          <w:color w:val="auto"/>
        </w:rPr>
        <w:t>2.3.3供水现状</w:t>
      </w:r>
      <w:bookmarkEnd w:id="43"/>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目前临安区境内公共供水厂主要有东部片的太湖源水厂、锦北水厂、高虹水厂，中部片的於潜水厂等。</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（1）太湖源水厂位于太湖源镇金岫村，供水总规模10万 m</w:t>
      </w:r>
      <w:r>
        <w:rPr>
          <w:rFonts w:ascii="Times New Roman" w:hAnsi="Times New Roman" w:eastAsia="仿宋_GB2312"/>
          <w:sz w:val="28"/>
          <w:szCs w:val="28"/>
          <w:vertAlign w:val="superscript"/>
        </w:rPr>
        <w:t>3</w:t>
      </w:r>
      <w:r>
        <w:rPr>
          <w:rFonts w:ascii="Times New Roman" w:hAnsi="Times New Roman" w:eastAsia="仿宋_GB2312"/>
          <w:sz w:val="28"/>
          <w:szCs w:val="28"/>
        </w:rPr>
        <w:t>/d，远期规划供水规模15万 m</w:t>
      </w:r>
      <w:r>
        <w:rPr>
          <w:rFonts w:ascii="Times New Roman" w:hAnsi="Times New Roman" w:eastAsia="仿宋_GB2312"/>
          <w:sz w:val="28"/>
          <w:szCs w:val="28"/>
          <w:vertAlign w:val="superscript"/>
        </w:rPr>
        <w:t>3</w:t>
      </w:r>
      <w:r>
        <w:rPr>
          <w:rFonts w:ascii="Times New Roman" w:hAnsi="Times New Roman" w:eastAsia="仿宋_GB2312"/>
          <w:sz w:val="28"/>
          <w:szCs w:val="28"/>
        </w:rPr>
        <w:t>/d。原水取自里畈水库，水质优良，供水服务范围为中心城区、玲珑街道、锦南街道和太湖源镇。水厂标高为106 m。里畈水库位于太湖源镇里畈村，属中型水库。集雨面积83 km</w:t>
      </w:r>
      <w:r>
        <w:rPr>
          <w:rFonts w:ascii="Times New Roman" w:hAnsi="Times New Roman" w:eastAsia="仿宋_GB2312"/>
          <w:sz w:val="28"/>
          <w:szCs w:val="28"/>
          <w:vertAlign w:val="superscript"/>
        </w:rPr>
        <w:t>2</w:t>
      </w:r>
      <w:r>
        <w:rPr>
          <w:rFonts w:ascii="Times New Roman" w:hAnsi="Times New Roman" w:eastAsia="仿宋_GB2312"/>
          <w:sz w:val="28"/>
          <w:szCs w:val="28"/>
        </w:rPr>
        <w:t>，坝高72 m，坝顶长270 m，总库容2094万 m</w:t>
      </w:r>
      <w:r>
        <w:rPr>
          <w:rFonts w:ascii="Times New Roman" w:hAnsi="Times New Roman" w:eastAsia="仿宋_GB2312"/>
          <w:sz w:val="28"/>
          <w:szCs w:val="28"/>
          <w:vertAlign w:val="superscript"/>
        </w:rPr>
        <w:t>3</w:t>
      </w:r>
      <w:r>
        <w:rPr>
          <w:rFonts w:ascii="Times New Roman" w:hAnsi="Times New Roman" w:eastAsia="仿宋_GB2312"/>
          <w:sz w:val="28"/>
          <w:szCs w:val="28"/>
        </w:rPr>
        <w:t>，正常库容1647万 m</w:t>
      </w:r>
      <w:r>
        <w:rPr>
          <w:rFonts w:ascii="Times New Roman" w:hAnsi="Times New Roman" w:eastAsia="仿宋_GB2312"/>
          <w:sz w:val="28"/>
          <w:szCs w:val="28"/>
          <w:vertAlign w:val="superscript"/>
        </w:rPr>
        <w:t>3</w:t>
      </w:r>
      <w:r>
        <w:rPr>
          <w:rFonts w:ascii="Times New Roman" w:hAnsi="Times New Roman" w:eastAsia="仿宋_GB2312"/>
          <w:sz w:val="28"/>
          <w:szCs w:val="28"/>
        </w:rPr>
        <w:t>。</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（2）锦北水厂位于锦北街道金马村，供水总规模6万 m</w:t>
      </w:r>
      <w:r>
        <w:rPr>
          <w:rFonts w:ascii="Times New Roman" w:hAnsi="Times New Roman" w:eastAsia="仿宋_GB2312"/>
          <w:sz w:val="28"/>
          <w:szCs w:val="28"/>
          <w:vertAlign w:val="superscript"/>
        </w:rPr>
        <w:t>3</w:t>
      </w:r>
      <w:r>
        <w:rPr>
          <w:rFonts w:ascii="Times New Roman" w:hAnsi="Times New Roman" w:eastAsia="仿宋_GB2312"/>
          <w:sz w:val="28"/>
          <w:szCs w:val="28"/>
        </w:rPr>
        <w:t>/d，水源取自水涛庄水库，水质优良，供水服务范围为锦北街道部分、青山湖街道青山片。水厂标高为66 m。水涛庄水库位于高虹镇虹桥村，属中型水库。集雨面积58 km</w:t>
      </w:r>
      <w:r>
        <w:rPr>
          <w:rFonts w:ascii="Times New Roman" w:hAnsi="Times New Roman" w:eastAsia="仿宋_GB2312"/>
          <w:sz w:val="28"/>
          <w:szCs w:val="28"/>
          <w:vertAlign w:val="superscript"/>
        </w:rPr>
        <w:t>2</w:t>
      </w:r>
      <w:r>
        <w:rPr>
          <w:rFonts w:ascii="Times New Roman" w:hAnsi="Times New Roman" w:eastAsia="仿宋_GB2312"/>
          <w:sz w:val="28"/>
          <w:szCs w:val="28"/>
        </w:rPr>
        <w:t>，坝高60 m，坝顶长264.4 m，总库容2888万 m</w:t>
      </w:r>
      <w:r>
        <w:rPr>
          <w:rFonts w:ascii="Times New Roman" w:hAnsi="Times New Roman" w:eastAsia="仿宋_GB2312"/>
          <w:sz w:val="28"/>
          <w:szCs w:val="28"/>
          <w:vertAlign w:val="superscript"/>
        </w:rPr>
        <w:t>3</w:t>
      </w:r>
      <w:r>
        <w:rPr>
          <w:rFonts w:ascii="Times New Roman" w:hAnsi="Times New Roman" w:eastAsia="仿宋_GB2312"/>
          <w:sz w:val="28"/>
          <w:szCs w:val="28"/>
        </w:rPr>
        <w:t>，正常库容1677万 m</w:t>
      </w:r>
      <w:r>
        <w:rPr>
          <w:rFonts w:ascii="Times New Roman" w:hAnsi="Times New Roman" w:eastAsia="仿宋_GB2312"/>
          <w:sz w:val="28"/>
          <w:szCs w:val="28"/>
          <w:vertAlign w:val="superscript"/>
        </w:rPr>
        <w:t>3</w:t>
      </w:r>
      <w:r>
        <w:rPr>
          <w:rFonts w:ascii="Times New Roman" w:hAnsi="Times New Roman" w:eastAsia="仿宋_GB2312"/>
          <w:sz w:val="28"/>
          <w:szCs w:val="28"/>
        </w:rPr>
        <w:t>。</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（3）高虹水厂位于高虹镇虹桥村，供水总规模2万 m</w:t>
      </w:r>
      <w:r>
        <w:rPr>
          <w:rFonts w:ascii="Times New Roman" w:hAnsi="Times New Roman" w:eastAsia="仿宋_GB2312"/>
          <w:sz w:val="28"/>
          <w:szCs w:val="28"/>
          <w:vertAlign w:val="superscript"/>
        </w:rPr>
        <w:t>3</w:t>
      </w:r>
      <w:r>
        <w:rPr>
          <w:rFonts w:ascii="Times New Roman" w:hAnsi="Times New Roman" w:eastAsia="仿宋_GB2312"/>
          <w:sz w:val="28"/>
          <w:szCs w:val="28"/>
        </w:rPr>
        <w:t>/d，原水取自水涛庄水库，水质优良，供水服务范围为高虹镇、青山湖街道横畈区块及配套工业区块。水厂标高为76 m。高虹水厂目前正在进行扩建工程的前期工程设计，扩建供水规模为2万 m</w:t>
      </w:r>
      <w:r>
        <w:rPr>
          <w:rFonts w:ascii="Times New Roman" w:hAnsi="Times New Roman" w:eastAsia="仿宋_GB2312"/>
          <w:sz w:val="28"/>
          <w:szCs w:val="28"/>
          <w:vertAlign w:val="superscript"/>
        </w:rPr>
        <w:t>3</w:t>
      </w:r>
      <w:r>
        <w:rPr>
          <w:rFonts w:ascii="Times New Roman" w:hAnsi="Times New Roman" w:eastAsia="仿宋_GB2312"/>
          <w:sz w:val="28"/>
          <w:szCs w:val="28"/>
        </w:rPr>
        <w:t>/d。</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（4）於潜水厂位于於潜镇后渚村，供水总规模1.5万 m</w:t>
      </w:r>
      <w:r>
        <w:rPr>
          <w:rFonts w:ascii="Times New Roman" w:hAnsi="Times New Roman" w:eastAsia="仿宋_GB2312"/>
          <w:sz w:val="28"/>
          <w:szCs w:val="28"/>
          <w:vertAlign w:val="superscript"/>
        </w:rPr>
        <w:t>3</w:t>
      </w:r>
      <w:r>
        <w:rPr>
          <w:rFonts w:ascii="Times New Roman" w:hAnsi="Times New Roman" w:eastAsia="仿宋_GB2312"/>
          <w:sz w:val="28"/>
          <w:szCs w:val="28"/>
        </w:rPr>
        <w:t>/d，原水取自英公水库，水质优良，供水服务范围为於潜镇镇区及绍鲁片村庄。英公水库位于於潜镇英公村，属中型水库。集雨面积81.3 km</w:t>
      </w:r>
      <w:r>
        <w:rPr>
          <w:rFonts w:ascii="Times New Roman" w:hAnsi="Times New Roman" w:eastAsia="仿宋_GB2312"/>
          <w:sz w:val="28"/>
          <w:szCs w:val="28"/>
          <w:vertAlign w:val="superscript"/>
        </w:rPr>
        <w:t>2</w:t>
      </w:r>
      <w:r>
        <w:rPr>
          <w:rFonts w:ascii="Times New Roman" w:hAnsi="Times New Roman" w:eastAsia="仿宋_GB2312"/>
          <w:sz w:val="28"/>
          <w:szCs w:val="28"/>
        </w:rPr>
        <w:t>，坝高53 m，坝顶长170 m，总库容3374万 m</w:t>
      </w:r>
      <w:r>
        <w:rPr>
          <w:rFonts w:ascii="Times New Roman" w:hAnsi="Times New Roman" w:eastAsia="仿宋_GB2312"/>
          <w:sz w:val="28"/>
          <w:szCs w:val="28"/>
          <w:vertAlign w:val="superscript"/>
        </w:rPr>
        <w:t>3</w:t>
      </w:r>
      <w:r>
        <w:rPr>
          <w:rFonts w:ascii="Times New Roman" w:hAnsi="Times New Roman" w:eastAsia="仿宋_GB2312"/>
          <w:sz w:val="28"/>
          <w:szCs w:val="28"/>
        </w:rPr>
        <w:t>，正常库容2266万 m</w:t>
      </w:r>
      <w:r>
        <w:rPr>
          <w:rFonts w:ascii="Times New Roman" w:hAnsi="Times New Roman" w:eastAsia="仿宋_GB2312"/>
          <w:sz w:val="28"/>
          <w:szCs w:val="28"/>
          <w:vertAlign w:val="superscript"/>
        </w:rPr>
        <w:t>3</w:t>
      </w:r>
      <w:r>
        <w:rPr>
          <w:rFonts w:ascii="Times New Roman" w:hAnsi="Times New Roman" w:eastAsia="仿宋_GB2312"/>
          <w:sz w:val="28"/>
          <w:szCs w:val="28"/>
        </w:rPr>
        <w:t>。</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（5）龙岗水厂位于龙岗镇龙井村，</w:t>
      </w:r>
      <w:r>
        <w:rPr>
          <w:rFonts w:hint="eastAsia" w:ascii="Times New Roman" w:hAnsi="Times New Roman" w:eastAsia="仿宋_GB2312"/>
          <w:sz w:val="28"/>
          <w:szCs w:val="28"/>
        </w:rPr>
        <w:t>规划</w:t>
      </w:r>
      <w:r>
        <w:rPr>
          <w:rFonts w:ascii="Times New Roman" w:hAnsi="Times New Roman" w:eastAsia="仿宋_GB2312"/>
          <w:sz w:val="28"/>
          <w:szCs w:val="28"/>
        </w:rPr>
        <w:t>供水规模为15万 m</w:t>
      </w:r>
      <w:r>
        <w:rPr>
          <w:rFonts w:ascii="Times New Roman" w:hAnsi="Times New Roman" w:eastAsia="仿宋_GB2312"/>
          <w:sz w:val="28"/>
          <w:szCs w:val="28"/>
          <w:vertAlign w:val="superscript"/>
        </w:rPr>
        <w:t>3</w:t>
      </w:r>
      <w:r>
        <w:rPr>
          <w:rFonts w:ascii="Times New Roman" w:hAnsi="Times New Roman" w:eastAsia="仿宋_GB2312"/>
          <w:sz w:val="28"/>
          <w:szCs w:val="28"/>
        </w:rPr>
        <w:t>/d，。供水范围为龙岗镇、昌化镇、河桥镇、太阳镇、於潜镇、天目山镇、潜川镇以及预留主城区部分片区。</w:t>
      </w:r>
    </w:p>
    <w:p>
      <w:pPr>
        <w:pStyle w:val="98"/>
        <w:spacing w:before="0" w:beforeLines="0" w:after="0" w:afterLines="0"/>
        <w:rPr>
          <w:rFonts w:ascii="Times New Roman" w:eastAsia="仿宋_GB2312"/>
          <w:sz w:val="24"/>
          <w:szCs w:val="24"/>
        </w:rPr>
      </w:pPr>
      <w:r>
        <w:rPr>
          <w:rFonts w:ascii="Times New Roman" w:eastAsia="仿宋_GB2312"/>
          <w:sz w:val="24"/>
          <w:szCs w:val="24"/>
        </w:rPr>
        <w:t>表2.3-3 水厂供水现状及远期供水规划表（2019年）</w:t>
      </w:r>
    </w:p>
    <w:tbl>
      <w:tblPr>
        <w:tblStyle w:val="30"/>
        <w:tblW w:w="89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893"/>
        <w:gridCol w:w="2165"/>
        <w:gridCol w:w="1844"/>
        <w:gridCol w:w="1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29" w:type="dxa"/>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序号</w:t>
            </w:r>
          </w:p>
        </w:tc>
        <w:tc>
          <w:tcPr>
            <w:tcW w:w="1893" w:type="dxa"/>
            <w:shd w:val="clear" w:color="auto" w:fill="auto"/>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水厂名称</w:t>
            </w:r>
          </w:p>
        </w:tc>
        <w:tc>
          <w:tcPr>
            <w:tcW w:w="2165" w:type="dxa"/>
            <w:shd w:val="clear" w:color="auto" w:fill="auto"/>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水源地</w:t>
            </w:r>
          </w:p>
        </w:tc>
        <w:tc>
          <w:tcPr>
            <w:tcW w:w="1844" w:type="dxa"/>
            <w:shd w:val="clear" w:color="auto" w:fill="auto"/>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现状供水规模（万 m</w:t>
            </w:r>
            <w:r>
              <w:rPr>
                <w:rFonts w:ascii="Times New Roman" w:hAnsi="Times New Roman" w:eastAsia="仿宋_GB2312"/>
                <w:b/>
                <w:bCs/>
                <w:sz w:val="21"/>
                <w:szCs w:val="21"/>
                <w:vertAlign w:val="superscript"/>
              </w:rPr>
              <w:t>3</w:t>
            </w:r>
            <w:r>
              <w:rPr>
                <w:rFonts w:ascii="Times New Roman" w:hAnsi="Times New Roman" w:eastAsia="仿宋_GB2312"/>
                <w:b/>
                <w:bCs/>
                <w:sz w:val="21"/>
                <w:szCs w:val="21"/>
              </w:rPr>
              <w:t>/d）</w:t>
            </w:r>
          </w:p>
        </w:tc>
        <w:tc>
          <w:tcPr>
            <w:tcW w:w="1891" w:type="dxa"/>
            <w:shd w:val="clear" w:color="auto" w:fill="auto"/>
            <w:vAlign w:val="center"/>
          </w:tcPr>
          <w:p>
            <w:pPr>
              <w:spacing w:line="240" w:lineRule="auto"/>
              <w:ind w:firstLine="0" w:firstLineChars="0"/>
              <w:jc w:val="center"/>
              <w:rPr>
                <w:rFonts w:ascii="Times New Roman" w:hAnsi="Times New Roman" w:eastAsia="仿宋_GB2312"/>
                <w:b/>
                <w:bCs/>
                <w:sz w:val="21"/>
                <w:szCs w:val="21"/>
              </w:rPr>
            </w:pPr>
            <w:r>
              <w:rPr>
                <w:rFonts w:ascii="Times New Roman" w:hAnsi="Times New Roman" w:eastAsia="仿宋_GB2312"/>
                <w:b/>
                <w:bCs/>
                <w:sz w:val="21"/>
                <w:szCs w:val="21"/>
              </w:rPr>
              <w:t>2035年供水规模（万 m</w:t>
            </w:r>
            <w:r>
              <w:rPr>
                <w:rFonts w:ascii="Times New Roman" w:hAnsi="Times New Roman" w:eastAsia="仿宋_GB2312"/>
                <w:b/>
                <w:bCs/>
                <w:sz w:val="21"/>
                <w:szCs w:val="21"/>
                <w:vertAlign w:val="superscript"/>
              </w:rPr>
              <w:t>3</w:t>
            </w:r>
            <w:r>
              <w:rPr>
                <w:rFonts w:ascii="Times New Roman" w:hAnsi="Times New Roman" w:eastAsia="仿宋_GB2312"/>
                <w:b/>
                <w:bCs/>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龙岗水厂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华光潭二级水库</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w:t>
            </w:r>
          </w:p>
        </w:tc>
        <w:tc>
          <w:tcPr>
            <w:tcW w:w="1893" w:type="dxa"/>
            <w:shd w:val="clear" w:color="auto" w:fill="auto"/>
            <w:noWrap/>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太阳水厂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1.3</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於潜水厂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英公水库</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藻溪水厂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0.8</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6</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太湖源水厂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里畈水库</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10</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7</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锦北水厂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水涛庄水库</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9" w:type="dxa"/>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w:t>
            </w:r>
          </w:p>
        </w:tc>
        <w:tc>
          <w:tcPr>
            <w:tcW w:w="1893"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高虹水厂</w:t>
            </w:r>
          </w:p>
        </w:tc>
        <w:tc>
          <w:tcPr>
            <w:tcW w:w="2165"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水涛庄水库</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7" w:type="dxa"/>
            <w:gridSpan w:val="3"/>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合计</w:t>
            </w:r>
          </w:p>
        </w:tc>
        <w:tc>
          <w:tcPr>
            <w:tcW w:w="1844"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20.1</w:t>
            </w:r>
          </w:p>
        </w:tc>
        <w:tc>
          <w:tcPr>
            <w:tcW w:w="1891" w:type="dxa"/>
            <w:shd w:val="clear" w:color="auto" w:fill="auto"/>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46.4（41.4）</w:t>
            </w:r>
          </w:p>
        </w:tc>
      </w:tr>
    </w:tbl>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根据临安区农村饮用水提质达标工程建设情况，临安区新增联村供水工程1</w:t>
      </w:r>
      <w:r>
        <w:rPr>
          <w:rFonts w:ascii="Times New Roman" w:hAnsi="Times New Roman" w:eastAsia="仿宋_GB2312"/>
          <w:sz w:val="28"/>
          <w:szCs w:val="28"/>
        </w:rPr>
        <w:t>3</w:t>
      </w:r>
      <w:r>
        <w:rPr>
          <w:rFonts w:hint="eastAsia" w:ascii="Times New Roman" w:hAnsi="Times New Roman" w:eastAsia="仿宋_GB2312"/>
          <w:sz w:val="28"/>
          <w:szCs w:val="28"/>
        </w:rPr>
        <w:t>处（目前已完成1</w:t>
      </w:r>
      <w:r>
        <w:rPr>
          <w:rFonts w:ascii="Times New Roman" w:hAnsi="Times New Roman" w:eastAsia="仿宋_GB2312"/>
          <w:sz w:val="28"/>
          <w:szCs w:val="28"/>
        </w:rPr>
        <w:t>0</w:t>
      </w:r>
      <w:r>
        <w:rPr>
          <w:rFonts w:hint="eastAsia" w:ascii="Times New Roman" w:hAnsi="Times New Roman" w:eastAsia="仿宋_GB2312"/>
          <w:sz w:val="28"/>
          <w:szCs w:val="28"/>
        </w:rPr>
        <w:t>处），受益人口9</w:t>
      </w:r>
      <w:r>
        <w:rPr>
          <w:rFonts w:ascii="Times New Roman" w:hAnsi="Times New Roman" w:eastAsia="仿宋_GB2312"/>
          <w:sz w:val="28"/>
          <w:szCs w:val="28"/>
        </w:rPr>
        <w:t>.3</w:t>
      </w:r>
      <w:r>
        <w:rPr>
          <w:rFonts w:hint="eastAsia" w:ascii="Times New Roman" w:hAnsi="Times New Roman" w:eastAsia="仿宋_GB2312"/>
          <w:sz w:val="28"/>
          <w:szCs w:val="28"/>
        </w:rPr>
        <w:t>万人。</w:t>
      </w:r>
    </w:p>
    <w:p>
      <w:pPr>
        <w:spacing w:line="580" w:lineRule="exact"/>
        <w:ind w:firstLine="0" w:firstLineChars="0"/>
        <w:jc w:val="center"/>
        <w:rPr>
          <w:rFonts w:ascii="Times New Roman" w:hAnsi="Times New Roman" w:eastAsia="仿宋_GB2312"/>
          <w:b/>
          <w:bCs/>
        </w:rPr>
      </w:pPr>
      <w:r>
        <w:rPr>
          <w:rFonts w:hint="eastAsia" w:ascii="Times New Roman" w:hAnsi="Times New Roman" w:eastAsia="仿宋_GB2312"/>
          <w:b/>
          <w:bCs/>
        </w:rPr>
        <w:t>表2</w:t>
      </w:r>
      <w:r>
        <w:rPr>
          <w:rFonts w:ascii="Times New Roman" w:hAnsi="Times New Roman" w:eastAsia="仿宋_GB2312"/>
          <w:b/>
          <w:bCs/>
        </w:rPr>
        <w:t>.3</w:t>
      </w:r>
      <w:r>
        <w:rPr>
          <w:rFonts w:hint="eastAsia" w:ascii="Times New Roman" w:hAnsi="Times New Roman" w:eastAsia="仿宋_GB2312"/>
          <w:b/>
          <w:bCs/>
        </w:rPr>
        <w:t>-</w:t>
      </w:r>
      <w:r>
        <w:rPr>
          <w:rFonts w:ascii="Times New Roman" w:hAnsi="Times New Roman" w:eastAsia="仿宋_GB2312"/>
          <w:b/>
          <w:bCs/>
        </w:rPr>
        <w:t xml:space="preserve">4 </w:t>
      </w:r>
      <w:r>
        <w:rPr>
          <w:rFonts w:hint="eastAsia" w:ascii="Times New Roman" w:hAnsi="Times New Roman" w:eastAsia="仿宋_GB2312"/>
          <w:b/>
          <w:bCs/>
        </w:rPr>
        <w:t>临安区联村供水工程</w:t>
      </w:r>
    </w:p>
    <w:tbl>
      <w:tblPr>
        <w:tblStyle w:val="31"/>
        <w:tblW w:w="5720" w:type="pct"/>
        <w:tblInd w:w="-5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85"/>
        <w:gridCol w:w="2261"/>
        <w:gridCol w:w="1231"/>
        <w:gridCol w:w="2911"/>
        <w:gridCol w:w="1311"/>
        <w:gridCol w:w="14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blHeader/>
        </w:trPr>
        <w:tc>
          <w:tcPr>
            <w:tcW w:w="300"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序号</w:t>
            </w:r>
          </w:p>
        </w:tc>
        <w:tc>
          <w:tcPr>
            <w:tcW w:w="1159"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项目名称</w:t>
            </w:r>
          </w:p>
        </w:tc>
        <w:tc>
          <w:tcPr>
            <w:tcW w:w="631"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受益镇街</w:t>
            </w:r>
          </w:p>
        </w:tc>
        <w:tc>
          <w:tcPr>
            <w:tcW w:w="1492"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受益行政村</w:t>
            </w:r>
          </w:p>
        </w:tc>
        <w:tc>
          <w:tcPr>
            <w:tcW w:w="672"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受益户籍人口（人）</w:t>
            </w:r>
          </w:p>
        </w:tc>
        <w:tc>
          <w:tcPr>
            <w:tcW w:w="746" w:type="pct"/>
            <w:vAlign w:val="center"/>
          </w:tcPr>
          <w:p>
            <w:pPr>
              <w:spacing w:line="240" w:lineRule="auto"/>
              <w:ind w:firstLine="0" w:firstLineChars="0"/>
              <w:jc w:val="center"/>
              <w:rPr>
                <w:rFonts w:ascii="Times New Roman" w:hAnsi="Times New Roman" w:eastAsia="仿宋_GB2312"/>
                <w:b/>
                <w:bCs/>
                <w:sz w:val="21"/>
                <w:szCs w:val="21"/>
              </w:rPr>
            </w:pPr>
            <w:r>
              <w:rPr>
                <w:rFonts w:hint="eastAsia" w:ascii="Times New Roman" w:hAnsi="Times New Roman" w:eastAsia="仿宋_GB2312"/>
                <w:b/>
                <w:bCs/>
                <w:sz w:val="21"/>
                <w:szCs w:val="21"/>
              </w:rPr>
              <w:t>供水规模（m</w:t>
            </w:r>
            <w:r>
              <w:rPr>
                <w:rFonts w:ascii="Times New Roman" w:hAnsi="Times New Roman" w:eastAsia="仿宋_GB2312"/>
                <w:b/>
                <w:bCs/>
                <w:sz w:val="21"/>
                <w:szCs w:val="21"/>
                <w:vertAlign w:val="superscript"/>
              </w:rPr>
              <w:t>3</w:t>
            </w:r>
            <w:r>
              <w:rPr>
                <w:rFonts w:ascii="Times New Roman" w:hAnsi="Times New Roman" w:eastAsia="仿宋_GB2312"/>
                <w:b/>
                <w:bCs/>
                <w:sz w:val="21"/>
                <w:szCs w:val="21"/>
              </w:rPr>
              <w:t>/d</w:t>
            </w:r>
            <w:r>
              <w:rPr>
                <w:rFonts w:hint="eastAsia" w:ascii="Times New Roman" w:hAnsi="Times New Roman" w:eastAsia="仿宋_GB2312"/>
                <w:b/>
                <w:bCs/>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太湖源镇龙门寺联村供水工程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众社村（举足）、夏村村、畈龙村（佃村）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3</w:t>
            </w:r>
            <w:r>
              <w:rPr>
                <w:rFonts w:ascii="Times New Roman" w:hAnsi="Times New Roman" w:eastAsia="仿宋_GB2312"/>
                <w:sz w:val="21"/>
                <w:szCs w:val="21"/>
              </w:rPr>
              <w:t>975</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8</w:t>
            </w:r>
            <w:r>
              <w:rPr>
                <w:rFonts w:ascii="Times New Roman" w:hAnsi="Times New Roman" w:eastAsia="仿宋_GB2312"/>
                <w:sz w:val="21"/>
                <w:szCs w:val="21"/>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太湖源镇夏村联村供水工程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畈龙村（畈龙）、横徐村、光辉村、碧淙村、南庄村（龙溪、横溪）</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7</w:t>
            </w:r>
            <w:r>
              <w:rPr>
                <w:rFonts w:ascii="Times New Roman" w:hAnsi="Times New Roman" w:eastAsia="仿宋_GB2312"/>
                <w:sz w:val="21"/>
                <w:szCs w:val="21"/>
              </w:rPr>
              <w:t>011</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太湖源镇梅家坞联村供水工程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南庄村（南庄）、东天目村、上阳村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3</w:t>
            </w:r>
            <w:r>
              <w:rPr>
                <w:rFonts w:ascii="Times New Roman" w:hAnsi="Times New Roman" w:eastAsia="仿宋_GB2312"/>
                <w:sz w:val="21"/>
                <w:szCs w:val="21"/>
              </w:rPr>
              <w:t>400</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7</w:t>
            </w:r>
            <w:r>
              <w:rPr>
                <w:rFonts w:ascii="Times New Roman" w:hAnsi="Times New Roman" w:eastAsia="仿宋_GB2312"/>
                <w:sz w:val="21"/>
                <w:szCs w:val="21"/>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板桥镇花戏片联村供水工程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板桥镇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上田村、花戏村、桃源村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6</w:t>
            </w:r>
            <w:r>
              <w:rPr>
                <w:rFonts w:ascii="Times New Roman" w:hAnsi="Times New Roman" w:eastAsia="仿宋_GB2312"/>
                <w:sz w:val="21"/>
                <w:szCs w:val="21"/>
              </w:rPr>
              <w:t>713</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343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天目山镇告岭片联村供水工程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天目山镇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西游村、高岭村、一都村、九狮村、门口村、徐村村、白鹤村、月亮桥村、交口村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1231</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5</w:t>
            </w:r>
            <w:r>
              <w:rPr>
                <w:rFonts w:ascii="Times New Roman" w:hAnsi="Times New Roman" w:eastAsia="仿宋_GB2312"/>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於潜镇千洪片联村供水工程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於潜镇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杨洪村、千茂村、朱湾村、泗洲村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6</w:t>
            </w:r>
            <w:r>
              <w:rPr>
                <w:rFonts w:ascii="Times New Roman" w:hAnsi="Times New Roman" w:eastAsia="仿宋_GB2312"/>
                <w:sz w:val="21"/>
                <w:szCs w:val="21"/>
              </w:rPr>
              <w:t>403</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281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太阳镇牌坊坞水库联村供水工程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太阳镇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登村村、横路村、鹤里村、寨村村、英公村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3</w:t>
            </w:r>
            <w:r>
              <w:rPr>
                <w:rFonts w:ascii="Times New Roman" w:hAnsi="Times New Roman" w:eastAsia="仿宋_GB2312"/>
                <w:sz w:val="21"/>
                <w:szCs w:val="21"/>
              </w:rPr>
              <w:t>754</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7</w:t>
            </w:r>
            <w:r>
              <w:rPr>
                <w:rFonts w:ascii="Times New Roman" w:hAnsi="Times New Roman" w:eastAsia="仿宋_GB2312"/>
                <w:sz w:val="21"/>
                <w:szCs w:val="21"/>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河桥镇石瑞联村供水工程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河桥镇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秀溪村、蒲村村、金燕村、学川村、七都村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8</w:t>
            </w:r>
            <w:r>
              <w:rPr>
                <w:rFonts w:ascii="Times New Roman" w:hAnsi="Times New Roman" w:eastAsia="仿宋_GB2312"/>
                <w:sz w:val="21"/>
                <w:szCs w:val="21"/>
              </w:rPr>
              <w:t>091</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2</w:t>
            </w:r>
            <w:r>
              <w:rPr>
                <w:rFonts w:ascii="Times New Roman" w:hAnsi="Times New Roman" w:eastAsia="仿宋_GB2312"/>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湍口镇连联村供水工程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湍口镇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三联村、湍口村、迎丰村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3</w:t>
            </w:r>
            <w:r>
              <w:rPr>
                <w:rFonts w:ascii="Times New Roman" w:hAnsi="Times New Roman" w:eastAsia="仿宋_GB2312"/>
                <w:sz w:val="21"/>
                <w:szCs w:val="21"/>
              </w:rPr>
              <w:t>747</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5</w:t>
            </w:r>
            <w:r>
              <w:rPr>
                <w:rFonts w:ascii="Times New Roman" w:hAnsi="Times New Roman" w:eastAsia="仿宋_GB2312"/>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清凉峰镇马啸片联村供水工程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清凉峰镇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石长城村、湖门村、大鸪村、玉屏村、颊口村、新都村、九都村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2872</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2</w:t>
            </w:r>
            <w:r>
              <w:rPr>
                <w:rFonts w:ascii="Times New Roman" w:hAnsi="Times New Roman" w:eastAsia="仿宋_GB2312"/>
                <w:sz w:val="21"/>
                <w:szCs w:val="21"/>
              </w:rPr>
              <w:t>574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清凉峰镇颊口片联村供水工程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清凉峰镇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林竹村、新峰村、白果村、杨溪村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8</w:t>
            </w:r>
            <w:r>
              <w:rPr>
                <w:rFonts w:ascii="Times New Roman" w:hAnsi="Times New Roman" w:eastAsia="仿宋_GB2312"/>
                <w:sz w:val="21"/>
                <w:szCs w:val="21"/>
              </w:rPr>
              <w:t>212</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642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岛石镇联村供水工程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岛石镇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仁里村、太平里村、山川村、岛石村、江川村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8</w:t>
            </w:r>
            <w:r>
              <w:rPr>
                <w:rFonts w:ascii="Times New Roman" w:hAnsi="Times New Roman" w:eastAsia="仿宋_GB2312"/>
                <w:sz w:val="21"/>
                <w:szCs w:val="21"/>
              </w:rPr>
              <w:t>532</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2</w:t>
            </w:r>
            <w:r>
              <w:rPr>
                <w:rFonts w:ascii="Times New Roman" w:hAnsi="Times New Roman" w:eastAsia="仿宋_GB2312"/>
                <w:sz w:val="21"/>
                <w:szCs w:val="21"/>
              </w:rPr>
              <w:t>070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300" w:type="pct"/>
            <w:vAlign w:val="center"/>
          </w:tcPr>
          <w:p>
            <w:pPr>
              <w:pStyle w:val="88"/>
              <w:numPr>
                <w:ilvl w:val="0"/>
                <w:numId w:val="3"/>
              </w:numPr>
              <w:spacing w:line="240" w:lineRule="auto"/>
              <w:ind w:firstLineChars="0"/>
              <w:jc w:val="center"/>
              <w:rPr>
                <w:rFonts w:ascii="Times New Roman" w:hAnsi="Times New Roman" w:eastAsia="仿宋_GB2312"/>
                <w:sz w:val="21"/>
                <w:szCs w:val="21"/>
              </w:rPr>
            </w:pPr>
          </w:p>
        </w:tc>
        <w:tc>
          <w:tcPr>
            <w:tcW w:w="1159"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岛石镇新桥片联村供水工程</w:t>
            </w:r>
          </w:p>
        </w:tc>
        <w:tc>
          <w:tcPr>
            <w:tcW w:w="631"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岛石镇</w:t>
            </w:r>
          </w:p>
        </w:tc>
        <w:tc>
          <w:tcPr>
            <w:tcW w:w="149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桥川村、上许村、下许村、新桥村、大山川村</w:t>
            </w:r>
          </w:p>
        </w:tc>
        <w:tc>
          <w:tcPr>
            <w:tcW w:w="672"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6</w:t>
            </w:r>
            <w:r>
              <w:rPr>
                <w:rFonts w:ascii="Times New Roman" w:hAnsi="Times New Roman" w:eastAsia="仿宋_GB2312"/>
                <w:sz w:val="21"/>
                <w:szCs w:val="21"/>
              </w:rPr>
              <w:t>210</w:t>
            </w:r>
          </w:p>
        </w:tc>
        <w:tc>
          <w:tcPr>
            <w:tcW w:w="74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r>
              <w:rPr>
                <w:rFonts w:ascii="Times New Roman" w:hAnsi="Times New Roman" w:eastAsia="仿宋_GB2312"/>
                <w:sz w:val="21"/>
                <w:szCs w:val="21"/>
              </w:rPr>
              <w:t>242</w:t>
            </w:r>
          </w:p>
        </w:tc>
      </w:tr>
    </w:tbl>
    <w:p>
      <w:pPr>
        <w:pStyle w:val="91"/>
        <w:spacing w:before="0" w:after="0" w:line="580" w:lineRule="exact"/>
        <w:ind w:left="0" w:leftChars="0" w:firstLine="562" w:firstLineChars="200"/>
        <w:rPr>
          <w:rFonts w:eastAsia="仿宋_GB2312"/>
          <w:color w:val="auto"/>
        </w:rPr>
      </w:pPr>
      <w:bookmarkStart w:id="44" w:name="_Toc68612194"/>
      <w:r>
        <w:rPr>
          <w:rFonts w:eastAsia="仿宋_GB2312"/>
          <w:color w:val="auto"/>
        </w:rPr>
        <w:t>2.3.4水功能区水环境功能区划分</w:t>
      </w:r>
      <w:bookmarkEnd w:id="44"/>
    </w:p>
    <w:p>
      <w:pPr>
        <w:spacing w:line="580" w:lineRule="exact"/>
        <w:ind w:firstLine="560"/>
        <w:rPr>
          <w:rFonts w:ascii="Times New Roman" w:hAnsi="Times New Roman" w:eastAsia="仿宋_GB2312"/>
          <w:sz w:val="28"/>
          <w:szCs w:val="28"/>
        </w:rPr>
        <w:sectPr>
          <w:pgSz w:w="11906" w:h="16838"/>
          <w:pgMar w:top="1440" w:right="1797" w:bottom="1440" w:left="1797" w:header="851" w:footer="992" w:gutter="0"/>
          <w:cols w:space="720" w:num="1"/>
          <w:docGrid w:linePitch="326" w:charSpace="0"/>
        </w:sectPr>
      </w:pPr>
      <w:r>
        <w:rPr>
          <w:rFonts w:ascii="Times New Roman" w:hAnsi="Times New Roman" w:eastAsia="仿宋_GB2312"/>
          <w:sz w:val="28"/>
          <w:szCs w:val="28"/>
        </w:rPr>
        <w:t>根据</w:t>
      </w:r>
      <w:r>
        <w:rPr>
          <w:rFonts w:ascii="Times New Roman" w:hAnsi="Times New Roman" w:eastAsia="仿宋_GB2312"/>
          <w:snapToGrid w:val="0"/>
          <w:kern w:val="0"/>
          <w:sz w:val="28"/>
          <w:szCs w:val="28"/>
        </w:rPr>
        <w:t>《浙江省水功能区水环境功能区划分方案》</w:t>
      </w:r>
      <w:r>
        <w:rPr>
          <w:rFonts w:ascii="Times New Roman" w:hAnsi="Times New Roman" w:eastAsia="仿宋_GB2312"/>
          <w:sz w:val="28"/>
          <w:szCs w:val="28"/>
        </w:rPr>
        <w:t>（2015年）</w:t>
      </w:r>
      <w:r>
        <w:rPr>
          <w:rFonts w:hint="eastAsia" w:ascii="Times New Roman" w:hAnsi="Times New Roman" w:eastAsia="仿宋_GB2312"/>
          <w:sz w:val="28"/>
          <w:szCs w:val="28"/>
        </w:rPr>
        <w:t>，</w:t>
      </w:r>
      <w:r>
        <w:rPr>
          <w:rFonts w:ascii="Times New Roman" w:hAnsi="Times New Roman" w:eastAsia="仿宋_GB2312"/>
          <w:sz w:val="28"/>
          <w:szCs w:val="28"/>
        </w:rPr>
        <w:t>临安区共有水功能区33个，分属于钱塘江水系和苕溪水系。</w:t>
      </w:r>
      <w:r>
        <w:rPr>
          <w:rFonts w:hint="eastAsia" w:ascii="Times New Roman" w:hAnsi="Times New Roman" w:eastAsia="仿宋_GB2312"/>
          <w:sz w:val="28"/>
          <w:szCs w:val="28"/>
        </w:rPr>
        <w:t>其中源头水保护区3个，自然保护区2个，饮用水源区2个，保留区5个，过渡区1个，农业用水区16个，农业、景观娱乐用水区1个，景观娱乐用水区1个，景观娱乐、工业用水区1个，工业用水区1个。水功能区情况表及分布图如表</w:t>
      </w:r>
      <w:r>
        <w:rPr>
          <w:rFonts w:ascii="Times New Roman" w:hAnsi="Times New Roman" w:eastAsia="仿宋_GB2312"/>
          <w:sz w:val="28"/>
          <w:szCs w:val="28"/>
        </w:rPr>
        <w:t>2.3</w:t>
      </w:r>
      <w:r>
        <w:rPr>
          <w:rFonts w:hint="eastAsia" w:ascii="Times New Roman" w:hAnsi="Times New Roman" w:eastAsia="仿宋_GB2312"/>
          <w:sz w:val="28"/>
          <w:szCs w:val="28"/>
        </w:rPr>
        <w:t>-</w:t>
      </w:r>
      <w:r>
        <w:rPr>
          <w:rFonts w:ascii="Times New Roman" w:hAnsi="Times New Roman" w:eastAsia="仿宋_GB2312"/>
          <w:sz w:val="28"/>
          <w:szCs w:val="28"/>
        </w:rPr>
        <w:t>5</w:t>
      </w:r>
      <w:r>
        <w:rPr>
          <w:rFonts w:hint="eastAsia" w:ascii="Times New Roman" w:hAnsi="Times New Roman" w:eastAsia="仿宋_GB2312"/>
          <w:sz w:val="28"/>
          <w:szCs w:val="28"/>
        </w:rPr>
        <w:t>、图</w:t>
      </w:r>
      <w:r>
        <w:rPr>
          <w:rFonts w:ascii="Times New Roman" w:hAnsi="Times New Roman" w:eastAsia="仿宋_GB2312"/>
          <w:sz w:val="28"/>
          <w:szCs w:val="28"/>
        </w:rPr>
        <w:t>2.3</w:t>
      </w:r>
      <w:r>
        <w:rPr>
          <w:rFonts w:hint="eastAsia" w:ascii="Times New Roman" w:hAnsi="Times New Roman" w:eastAsia="仿宋_GB2312"/>
          <w:sz w:val="28"/>
          <w:szCs w:val="28"/>
        </w:rPr>
        <w:t>-1所示</w:t>
      </w:r>
      <w:r>
        <w:rPr>
          <w:rFonts w:ascii="Times New Roman" w:hAnsi="Times New Roman" w:eastAsia="仿宋_GB2312"/>
          <w:sz w:val="28"/>
          <w:szCs w:val="28"/>
        </w:rPr>
        <w:t>。</w:t>
      </w:r>
    </w:p>
    <w:p>
      <w:pPr>
        <w:spacing w:line="580" w:lineRule="exact"/>
        <w:ind w:firstLine="0" w:firstLineChars="0"/>
        <w:jc w:val="center"/>
        <w:rPr>
          <w:rFonts w:ascii="Times New Roman" w:hAnsi="Times New Roman" w:eastAsia="仿宋_GB2312"/>
          <w:b/>
          <w:bCs/>
        </w:rPr>
      </w:pPr>
      <w:r>
        <w:rPr>
          <w:rFonts w:hint="eastAsia" w:ascii="Times New Roman" w:hAnsi="Times New Roman" w:eastAsia="仿宋_GB2312"/>
          <w:b/>
          <w:bCs/>
        </w:rPr>
        <w:t>表2</w:t>
      </w:r>
      <w:r>
        <w:rPr>
          <w:rFonts w:ascii="Times New Roman" w:hAnsi="Times New Roman" w:eastAsia="仿宋_GB2312"/>
          <w:b/>
          <w:bCs/>
        </w:rPr>
        <w:t>.3</w:t>
      </w:r>
      <w:r>
        <w:rPr>
          <w:rFonts w:hint="eastAsia" w:ascii="Times New Roman" w:hAnsi="Times New Roman" w:eastAsia="仿宋_GB2312"/>
          <w:b/>
          <w:bCs/>
        </w:rPr>
        <w:t>-</w:t>
      </w:r>
      <w:r>
        <w:rPr>
          <w:rFonts w:ascii="Times New Roman" w:hAnsi="Times New Roman" w:eastAsia="仿宋_GB2312"/>
          <w:b/>
          <w:bCs/>
        </w:rPr>
        <w:t xml:space="preserve">5 </w:t>
      </w:r>
      <w:r>
        <w:rPr>
          <w:rFonts w:hint="eastAsia" w:ascii="Times New Roman" w:hAnsi="Times New Roman" w:eastAsia="仿宋_GB2312"/>
          <w:b/>
          <w:bCs/>
        </w:rPr>
        <w:t>临安区水功能区水环境功能区划分情况</w:t>
      </w:r>
    </w:p>
    <w:tbl>
      <w:tblPr>
        <w:tblStyle w:val="30"/>
        <w:tblW w:w="502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2465"/>
        <w:gridCol w:w="1462"/>
        <w:gridCol w:w="972"/>
        <w:gridCol w:w="1294"/>
        <w:gridCol w:w="2590"/>
        <w:gridCol w:w="2597"/>
        <w:gridCol w:w="1471"/>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 w:hRule="atLeast"/>
          <w:tblHeader/>
          <w:jc w:val="center"/>
        </w:trPr>
        <w:tc>
          <w:tcPr>
            <w:tcW w:w="251"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序号</w:t>
            </w:r>
          </w:p>
        </w:tc>
        <w:tc>
          <w:tcPr>
            <w:tcW w:w="865"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水功能区</w:t>
            </w:r>
          </w:p>
        </w:tc>
        <w:tc>
          <w:tcPr>
            <w:tcW w:w="513"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水环境</w:t>
            </w:r>
          </w:p>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功能区</w:t>
            </w:r>
          </w:p>
        </w:tc>
        <w:tc>
          <w:tcPr>
            <w:tcW w:w="341"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水系</w:t>
            </w:r>
          </w:p>
        </w:tc>
        <w:tc>
          <w:tcPr>
            <w:tcW w:w="454"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河流</w:t>
            </w:r>
          </w:p>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（湖、库）</w:t>
            </w:r>
          </w:p>
        </w:tc>
        <w:tc>
          <w:tcPr>
            <w:tcW w:w="1820" w:type="pct"/>
            <w:gridSpan w:val="2"/>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范围</w:t>
            </w:r>
          </w:p>
        </w:tc>
        <w:tc>
          <w:tcPr>
            <w:tcW w:w="516"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长度面积（km/km</w:t>
            </w:r>
            <w:r>
              <w:rPr>
                <w:rFonts w:ascii="Times New Roman" w:hAnsi="Times New Roman" w:eastAsia="仿宋_GB2312"/>
                <w:b/>
                <w:sz w:val="21"/>
                <w:szCs w:val="21"/>
                <w:vertAlign w:val="superscript"/>
              </w:rPr>
              <w:t>2</w:t>
            </w:r>
            <w:r>
              <w:rPr>
                <w:rFonts w:ascii="Times New Roman" w:hAnsi="Times New Roman" w:eastAsia="仿宋_GB2312"/>
                <w:b/>
                <w:sz w:val="21"/>
                <w:szCs w:val="21"/>
              </w:rPr>
              <w:t>）</w:t>
            </w:r>
          </w:p>
        </w:tc>
        <w:tc>
          <w:tcPr>
            <w:tcW w:w="240" w:type="pct"/>
            <w:vMerge w:val="restar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目标水质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atLeast"/>
          <w:tblHeader/>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起始断面</w:t>
            </w:r>
          </w:p>
        </w:tc>
        <w:tc>
          <w:tcPr>
            <w:tcW w:w="911"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终止断面</w:t>
            </w:r>
          </w:p>
        </w:tc>
        <w:tc>
          <w:tcPr>
            <w:tcW w:w="516" w:type="pct"/>
            <w:vMerge w:val="continue"/>
            <w:vAlign w:val="center"/>
          </w:tcPr>
          <w:p>
            <w:pPr>
              <w:spacing w:line="240" w:lineRule="auto"/>
              <w:ind w:firstLine="0" w:firstLineChars="0"/>
              <w:jc w:val="center"/>
              <w:rPr>
                <w:rFonts w:ascii="Times New Roman" w:hAnsi="Times New Roman" w:eastAsia="仿宋_GB2312"/>
                <w:b/>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钱塘195</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昌北溪临安源头水保护区</w:t>
            </w:r>
          </w:p>
        </w:tc>
        <w:tc>
          <w:tcPr>
            <w:tcW w:w="513"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tabs>
                <w:tab w:val="left" w:pos="420"/>
              </w:tabs>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昌北溪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源头（西舍村）</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昌北、昌西溪交汇口下</w:t>
            </w:r>
            <w:r>
              <w:rPr>
                <w:rStyle w:val="107"/>
                <w:rFonts w:eastAsia="仿宋_GB2312"/>
                <w:sz w:val="21"/>
                <w:szCs w:val="21"/>
                <w:lang w:bidi="ar"/>
              </w:rPr>
              <w:t>3km</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48</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钱塘196</w:t>
            </w:r>
          </w:p>
        </w:tc>
        <w:tc>
          <w:tcPr>
            <w:tcW w:w="865"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昌化溪临安饮用水源区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饮用水水源保护区</w:t>
            </w:r>
          </w:p>
        </w:tc>
        <w:tc>
          <w:tcPr>
            <w:tcW w:w="34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昌化溪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昌北、昌西溪交汇口下游3km</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昌化武隆电站大坝</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6.5</w:t>
            </w:r>
          </w:p>
        </w:tc>
        <w:tc>
          <w:tcPr>
            <w:tcW w:w="240"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饮用水水源一级保护区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昌北、昌西溪交汇口下游3km</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童家</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5.3</w:t>
            </w:r>
          </w:p>
        </w:tc>
        <w:tc>
          <w:tcPr>
            <w:tcW w:w="240" w:type="pct"/>
            <w:vMerge w:val="continue"/>
            <w:vAlign w:val="center"/>
          </w:tcPr>
          <w:p>
            <w:pPr>
              <w:spacing w:line="240" w:lineRule="auto"/>
              <w:ind w:firstLine="0" w:firstLineChars="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widowControl/>
              <w:spacing w:line="240" w:lineRule="auto"/>
              <w:ind w:firstLine="0" w:firstLineChars="0"/>
              <w:jc w:val="center"/>
              <w:textAlignment w:val="center"/>
              <w:rPr>
                <w:rFonts w:ascii="Times New Roman" w:hAnsi="Times New Roman" w:eastAsia="仿宋_GB2312"/>
                <w:color w:val="000000"/>
                <w:kern w:val="0"/>
                <w:sz w:val="21"/>
                <w:szCs w:val="21"/>
                <w:lang w:bidi="ar"/>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widowControl/>
              <w:spacing w:line="240" w:lineRule="auto"/>
              <w:ind w:firstLine="0" w:firstLineChars="0"/>
              <w:jc w:val="center"/>
              <w:textAlignment w:val="center"/>
              <w:rPr>
                <w:rFonts w:ascii="Times New Roman" w:hAnsi="Times New Roman" w:eastAsia="仿宋_GB2312"/>
                <w:color w:val="000000"/>
                <w:kern w:val="0"/>
                <w:sz w:val="21"/>
                <w:szCs w:val="21"/>
                <w:lang w:bidi="ar"/>
              </w:rPr>
            </w:pPr>
            <w:r>
              <w:rPr>
                <w:rFonts w:ascii="Times New Roman" w:hAnsi="Times New Roman" w:eastAsia="仿宋_GB2312"/>
                <w:color w:val="000000"/>
                <w:kern w:val="0"/>
                <w:sz w:val="21"/>
                <w:szCs w:val="21"/>
                <w:lang w:bidi="ar"/>
              </w:rPr>
              <w:t>陆域：沿岸纵深50m，不超过周边山脊线（0.1km</w:t>
            </w:r>
            <w:r>
              <w:rPr>
                <w:rFonts w:ascii="Times New Roman" w:hAnsi="Times New Roman" w:eastAsia="仿宋_GB2312"/>
                <w:color w:val="000000"/>
                <w:kern w:val="0"/>
                <w:sz w:val="21"/>
                <w:szCs w:val="21"/>
                <w:vertAlign w:val="superscript"/>
                <w:lang w:bidi="ar"/>
              </w:rPr>
              <w:t>2</w:t>
            </w:r>
            <w:r>
              <w:rPr>
                <w:rFonts w:ascii="Times New Roman" w:hAnsi="Times New Roman" w:eastAsia="仿宋_GB2312"/>
                <w:color w:val="000000"/>
                <w:kern w:val="0"/>
                <w:sz w:val="21"/>
                <w:szCs w:val="21"/>
                <w:lang w:bidi="ar"/>
              </w:rPr>
              <w:t>）</w:t>
            </w: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饮用水水源二级保护区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童家</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昌化武隆电站大坝</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1.2</w:t>
            </w:r>
          </w:p>
        </w:tc>
        <w:tc>
          <w:tcPr>
            <w:tcW w:w="240" w:type="pct"/>
            <w:vMerge w:val="continue"/>
            <w:vAlign w:val="center"/>
          </w:tcPr>
          <w:p>
            <w:pPr>
              <w:spacing w:line="240" w:lineRule="auto"/>
              <w:ind w:firstLine="0" w:firstLineChars="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widowControl/>
              <w:spacing w:line="240" w:lineRule="auto"/>
              <w:ind w:firstLine="0" w:firstLineChars="0"/>
              <w:jc w:val="center"/>
              <w:textAlignment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陆域：沿岸纵深1000m，不超过周边山脊线（6.8km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钱塘197</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昌化溪临安农业用水区</w:t>
            </w:r>
            <w:r>
              <w:rPr>
                <w:rStyle w:val="106"/>
                <w:rFonts w:eastAsia="仿宋_GB2312"/>
                <w:sz w:val="21"/>
                <w:szCs w:val="21"/>
                <w:lang w:bidi="ar"/>
              </w:rPr>
              <w:t>1</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昌化溪</w:t>
            </w:r>
          </w:p>
        </w:tc>
        <w:tc>
          <w:tcPr>
            <w:tcW w:w="909"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昌化武隆电站大坝</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河桥镇</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11</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钱塘198</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昌化溪临安农业用水区</w:t>
            </w:r>
            <w:r>
              <w:rPr>
                <w:rStyle w:val="106"/>
                <w:rFonts w:eastAsia="仿宋_GB2312"/>
                <w:sz w:val="21"/>
                <w:szCs w:val="21"/>
                <w:lang w:bidi="ar"/>
              </w:rPr>
              <w:t>2</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昌化溪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河桥镇</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天目、昌化溪交汇口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19</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钱塘199</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分水江临安农业用水区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分水江</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天目、昌化溪交汇口</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临安桐庐交界（乐平）</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8</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钱塘205</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昌西溪临安源头水保护区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昌西溪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源头（东岙头）</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昌西溪昌北溪交汇口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52.5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钱塘206</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蒲溪临安保留区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蒲溪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源头（大岘坑）</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河桥白下</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21</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钱塘207</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昌南溪临安保留区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昌南溪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源头（沈溪水库）</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昌化溪交汇口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43.7</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钱塘208</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丰陵溪天目山自然保护区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天目山自然保护区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丰陵溪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源头（龙王庙）</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甘溪水库</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钱塘209</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丰陵溪临安农业用水区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丰陵溪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甘溪水库</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於潜双溪口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钱塘210</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天目溪临安保留区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天目溪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於潜双溪口</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天目、昌化溪交汇口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22</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钱塘211</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虞溪临安保留区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钱塘江</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虞溪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源头（上阳水库）</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凌口桥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25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钱塘212</w:t>
            </w:r>
          </w:p>
        </w:tc>
        <w:tc>
          <w:tcPr>
            <w:tcW w:w="86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东关溪临安天目山自然保护区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自然保护区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东关溪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源头（牯年塘）</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关上</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7</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钱塘213</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东关溪临安农业用水区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东关溪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关上</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於潜双溪口</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29</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钱塘214</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藻溪临安农业用水区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藻溪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源头（茹荷岭）</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天目溪交汇口</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27</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钱塘215</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太阳溪临安农业用水区1</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太阳溪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源头（金田湾）</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太阳镇</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21</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钱塘216</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太阳溪临安农业用水区2</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太阳溪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太阳镇</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天目溪交汇口</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10</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钱塘217</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后溪桐庐、临安农业、景观娱乐用水区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农业、景观娱乐用水区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后溪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源头（洪岭）</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后溪分水江交汇处</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24</w:t>
            </w:r>
          </w:p>
        </w:tc>
        <w:tc>
          <w:tcPr>
            <w:tcW w:w="240"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钱塘224</w:t>
            </w:r>
          </w:p>
        </w:tc>
        <w:tc>
          <w:tcPr>
            <w:tcW w:w="865"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渌渚江（松溪）临安、富阳工业用水区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工业用水区</w:t>
            </w:r>
          </w:p>
        </w:tc>
        <w:tc>
          <w:tcPr>
            <w:tcW w:w="34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钱塘江</w:t>
            </w:r>
          </w:p>
        </w:tc>
        <w:tc>
          <w:tcPr>
            <w:tcW w:w="454" w:type="pct"/>
            <w:vAlign w:val="center"/>
          </w:tcPr>
          <w:p>
            <w:pPr>
              <w:widowControl/>
              <w:spacing w:line="240" w:lineRule="auto"/>
              <w:ind w:firstLine="0" w:firstLineChars="0"/>
              <w:jc w:val="center"/>
              <w:textAlignment w:val="center"/>
              <w:rPr>
                <w:rFonts w:ascii="Times New Roman" w:hAnsi="Times New Roman" w:eastAsia="仿宋_GB2312"/>
                <w:kern w:val="0"/>
                <w:sz w:val="21"/>
                <w:szCs w:val="21"/>
                <w:lang w:bidi="ar"/>
              </w:rPr>
            </w:pPr>
            <w:r>
              <w:rPr>
                <w:rFonts w:ascii="Times New Roman" w:hAnsi="Times New Roman" w:eastAsia="仿宋_GB2312"/>
                <w:kern w:val="0"/>
                <w:sz w:val="21"/>
                <w:szCs w:val="21"/>
                <w:lang w:bidi="ar"/>
              </w:rPr>
              <w:t>渌渚江</w:t>
            </w:r>
          </w:p>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（松溪）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源头（洪家头）</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云山桥</w:t>
            </w:r>
          </w:p>
        </w:tc>
        <w:tc>
          <w:tcPr>
            <w:tcW w:w="516"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kern w:val="0"/>
                <w:sz w:val="21"/>
                <w:szCs w:val="21"/>
                <w:lang w:bidi="ar"/>
              </w:rPr>
              <w:t>31.1</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苕溪52</w:t>
            </w:r>
          </w:p>
        </w:tc>
        <w:tc>
          <w:tcPr>
            <w:tcW w:w="865"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南苕溪临安源头水保护区</w:t>
            </w: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饮用水水源保护区</w:t>
            </w:r>
          </w:p>
        </w:tc>
        <w:tc>
          <w:tcPr>
            <w:tcW w:w="34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源头（水竹坞）（包括域内各源）</w:t>
            </w:r>
          </w:p>
        </w:tc>
        <w:tc>
          <w:tcPr>
            <w:tcW w:w="91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里畈水库大坝下游320</w:t>
            </w:r>
            <w:r>
              <w:rPr>
                <w:rFonts w:hint="eastAsia" w:ascii="Times New Roman" w:hAnsi="Times New Roman" w:eastAsia="仿宋_GB2312"/>
                <w:sz w:val="21"/>
                <w:szCs w:val="21"/>
              </w:rPr>
              <w:t>m</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28.8/0.8</w:t>
            </w:r>
          </w:p>
        </w:tc>
        <w:tc>
          <w:tcPr>
            <w:tcW w:w="240"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源头（水坞口）（包括域内各源）</w:t>
            </w:r>
          </w:p>
        </w:tc>
        <w:tc>
          <w:tcPr>
            <w:tcW w:w="91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饮用水水源准保护区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源头（水竹坞）（包括域内各源）</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溪口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10</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源头（水坞口）（包括域内各源）</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楂岭脚</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9.3</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陆域：两岸集雨区范围（67km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饮用水水源二级保护区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溪口</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里畈水库库尾郎春山桥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楂岭脚</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东坑溪与西坑溪交汇上溪口桥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陆域：两岸集雨区范围（12.6km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饮用水水源一级保护区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里畈水库库尾郎春山桥</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里畈水库大坝下游320</w:t>
            </w:r>
            <w:r>
              <w:rPr>
                <w:rFonts w:hint="eastAsia" w:ascii="Times New Roman" w:hAnsi="Times New Roman" w:eastAsia="仿宋_GB2312"/>
                <w:color w:val="000000"/>
                <w:kern w:val="0"/>
                <w:sz w:val="21"/>
                <w:szCs w:val="21"/>
                <w:lang w:bidi="ar"/>
              </w:rPr>
              <w:t>m</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3.5/0.8</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陆域：水库正常水位线以上200</w:t>
            </w:r>
            <w:r>
              <w:rPr>
                <w:rFonts w:hint="eastAsia" w:ascii="Times New Roman" w:hAnsi="Times New Roman" w:eastAsia="仿宋_GB2312"/>
                <w:sz w:val="21"/>
                <w:szCs w:val="21"/>
              </w:rPr>
              <w:t>m</w:t>
            </w:r>
            <w:r>
              <w:rPr>
                <w:rFonts w:ascii="Times New Roman" w:hAnsi="Times New Roman" w:eastAsia="仿宋_GB2312"/>
                <w:sz w:val="21"/>
                <w:szCs w:val="21"/>
              </w:rPr>
              <w:t>范围陆域，不超过周边山脊线；大坝下320</w:t>
            </w:r>
            <w:r>
              <w:rPr>
                <w:rFonts w:hint="eastAsia" w:ascii="Times New Roman" w:hAnsi="Times New Roman" w:eastAsia="仿宋_GB2312"/>
                <w:sz w:val="21"/>
                <w:szCs w:val="21"/>
              </w:rPr>
              <w:t>m</w:t>
            </w:r>
            <w:r>
              <w:rPr>
                <w:rFonts w:ascii="Times New Roman" w:hAnsi="Times New Roman" w:eastAsia="仿宋_GB2312"/>
                <w:sz w:val="21"/>
                <w:szCs w:val="21"/>
              </w:rPr>
              <w:t>河道南面为山脊线、北面为里畈水库管理处围墙以内的陆域（共2.5km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苕溪53</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南苕溪临安农业用水区1</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里畈水库大坝下游320m</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浪口桥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9</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苕溪54</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南苕溪临安农业用水区2</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浪口桥</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锦城临西桥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9</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苕溪55</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南苕溪临安景观娱乐、工业用水区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景观娱乐用水区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锦城临西桥</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锦城临水桥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5.8</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苕溪56</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南苕溪临安过渡区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过渡区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锦城临水桥</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青山水库入口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苕溪57</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南苕溪临安景观娱乐用水区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景观娱乐用水区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青山水库入口</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青山水库坝下</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6</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苕溪58</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南苕溪临安农业用水区3</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青山水库坝下</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汪家埠</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9</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苕溪71</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南溪临安保留区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保留区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源头（龙王塘山塘）</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观莲桥</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苕溪72</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南溪临安农业用水区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观莲桥</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桥东</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7</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苕溪73</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锦溪临安农业用水区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（锦溪）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源头（大王坞）</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锦溪青山水库入口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23</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苕溪74</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横溪临安农业用水区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（横溪）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源头（大坑坞）</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高坞口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苕溪75</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灵溪临安农业用水区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南苕溪</w:t>
            </w:r>
          </w:p>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（灵溪）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源头（庙边坞）</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青山水库入口</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13.5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苕溪84</w:t>
            </w:r>
          </w:p>
        </w:tc>
        <w:tc>
          <w:tcPr>
            <w:tcW w:w="865" w:type="pct"/>
            <w:vMerge w:val="restar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中苕溪临安饮用水源区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饮用水水源保护区</w:t>
            </w:r>
          </w:p>
        </w:tc>
        <w:tc>
          <w:tcPr>
            <w:tcW w:w="341"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中苕溪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源头（美岭坑）（包括域内各源）</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水涛庄水库大坝下</w:t>
            </w:r>
          </w:p>
        </w:tc>
        <w:tc>
          <w:tcPr>
            <w:tcW w:w="516"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18/0.75</w:t>
            </w:r>
          </w:p>
        </w:tc>
        <w:tc>
          <w:tcPr>
            <w:tcW w:w="240"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饮用水水源准保护区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源头（美岭坑）（包括域内各源）</w:t>
            </w:r>
          </w:p>
        </w:tc>
        <w:tc>
          <w:tcPr>
            <w:tcW w:w="911" w:type="pc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汪家坞与石门交界处</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12</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陆域：两岸集雨区范围（46.2km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饮用水水源二级保护区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汪家坞与石门交界处</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水涛庄水库库尾</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陆域：两岸集雨区范围（4.8km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restart"/>
            <w:vAlign w:val="center"/>
          </w:tcPr>
          <w:p>
            <w:pPr>
              <w:widowControl/>
              <w:spacing w:line="240" w:lineRule="auto"/>
              <w:ind w:firstLine="0" w:firstLineChars="0"/>
              <w:jc w:val="center"/>
              <w:textAlignment w:val="center"/>
              <w:rPr>
                <w:rFonts w:ascii="Times New Roman" w:hAnsi="Times New Roman" w:eastAsia="仿宋_GB2312"/>
                <w:sz w:val="21"/>
                <w:szCs w:val="21"/>
              </w:rPr>
            </w:pPr>
            <w:r>
              <w:rPr>
                <w:rFonts w:ascii="Times New Roman" w:hAnsi="Times New Roman" w:eastAsia="仿宋_GB2312"/>
                <w:color w:val="000000"/>
                <w:kern w:val="0"/>
                <w:sz w:val="21"/>
                <w:szCs w:val="21"/>
                <w:lang w:bidi="ar"/>
              </w:rPr>
              <w:t>饮用水水源一级保护区</w:t>
            </w: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水库库尾</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水库大坝下</w:t>
            </w:r>
          </w:p>
        </w:tc>
        <w:tc>
          <w:tcPr>
            <w:tcW w:w="516" w:type="pct"/>
            <w:vMerge w:val="restar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3/0.75</w:t>
            </w: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865" w:type="pct"/>
            <w:vMerge w:val="continue"/>
            <w:vAlign w:val="center"/>
          </w:tcPr>
          <w:p>
            <w:pPr>
              <w:widowControl/>
              <w:spacing w:line="240" w:lineRule="auto"/>
              <w:ind w:firstLine="0" w:firstLineChars="0"/>
              <w:jc w:val="center"/>
              <w:rPr>
                <w:rFonts w:ascii="Times New Roman" w:hAnsi="Times New Roman" w:eastAsia="仿宋_GB2312"/>
                <w:kern w:val="0"/>
                <w:sz w:val="21"/>
                <w:szCs w:val="21"/>
                <w:lang w:bidi="ar"/>
              </w:rPr>
            </w:pPr>
          </w:p>
        </w:tc>
        <w:tc>
          <w:tcPr>
            <w:tcW w:w="513"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41"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54"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1820" w:type="pct"/>
            <w:gridSpan w:val="2"/>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陆域：水库两岸集雨区范围（7.1km</w:t>
            </w:r>
            <w:r>
              <w:rPr>
                <w:rFonts w:ascii="Times New Roman" w:hAnsi="Times New Roman" w:eastAsia="仿宋_GB2312"/>
                <w:sz w:val="21"/>
                <w:szCs w:val="21"/>
                <w:vertAlign w:val="superscript"/>
              </w:rPr>
              <w:t>2</w:t>
            </w:r>
            <w:r>
              <w:rPr>
                <w:rFonts w:ascii="Times New Roman" w:hAnsi="Times New Roman" w:eastAsia="仿宋_GB2312"/>
                <w:sz w:val="21"/>
                <w:szCs w:val="21"/>
              </w:rPr>
              <w:t>）</w:t>
            </w:r>
          </w:p>
        </w:tc>
        <w:tc>
          <w:tcPr>
            <w:tcW w:w="51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240" w:type="pct"/>
            <w:vMerge w:val="continue"/>
            <w:vAlign w:val="center"/>
          </w:tcPr>
          <w:p>
            <w:pPr>
              <w:spacing w:line="240" w:lineRule="auto"/>
              <w:ind w:firstLine="0" w:firstLineChars="0"/>
              <w:jc w:val="center"/>
              <w:rPr>
                <w:rFonts w:ascii="Times New Roman" w:hAnsi="Times New Roman" w:eastAsia="仿宋_GB2312"/>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苕溪85</w:t>
            </w:r>
          </w:p>
        </w:tc>
        <w:tc>
          <w:tcPr>
            <w:tcW w:w="865" w:type="pct"/>
            <w:vAlign w:val="center"/>
          </w:tcPr>
          <w:p>
            <w:pPr>
              <w:widowControl/>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中苕溪临安农业用水区</w:t>
            </w:r>
          </w:p>
        </w:tc>
        <w:tc>
          <w:tcPr>
            <w:tcW w:w="513"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农业用水区</w:t>
            </w:r>
          </w:p>
        </w:tc>
        <w:tc>
          <w:tcPr>
            <w:tcW w:w="341"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苕溪</w:t>
            </w:r>
          </w:p>
        </w:tc>
        <w:tc>
          <w:tcPr>
            <w:tcW w:w="454"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中苕溪</w:t>
            </w:r>
          </w:p>
        </w:tc>
        <w:tc>
          <w:tcPr>
            <w:tcW w:w="909"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水涛庄水库大坝下</w:t>
            </w:r>
          </w:p>
        </w:tc>
        <w:tc>
          <w:tcPr>
            <w:tcW w:w="911" w:type="pct"/>
            <w:vAlign w:val="center"/>
          </w:tcPr>
          <w:p>
            <w:pPr>
              <w:widowControl/>
              <w:spacing w:line="240" w:lineRule="auto"/>
              <w:ind w:firstLine="0" w:firstLineChars="0"/>
              <w:jc w:val="center"/>
              <w:textAlignment w:val="center"/>
              <w:rPr>
                <w:rFonts w:ascii="Times New Roman" w:hAnsi="Times New Roman" w:eastAsia="仿宋_GB2312"/>
                <w:color w:val="000000"/>
                <w:sz w:val="21"/>
                <w:szCs w:val="21"/>
              </w:rPr>
            </w:pPr>
            <w:r>
              <w:rPr>
                <w:rFonts w:ascii="Times New Roman" w:hAnsi="Times New Roman" w:eastAsia="仿宋_GB2312"/>
                <w:color w:val="000000"/>
                <w:kern w:val="0"/>
                <w:sz w:val="21"/>
                <w:szCs w:val="21"/>
                <w:lang w:bidi="ar"/>
              </w:rPr>
              <w:t>临安余杭交界</w:t>
            </w:r>
          </w:p>
        </w:tc>
        <w:tc>
          <w:tcPr>
            <w:tcW w:w="516"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15</w:t>
            </w:r>
          </w:p>
        </w:tc>
        <w:tc>
          <w:tcPr>
            <w:tcW w:w="24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kern w:val="0"/>
                <w:sz w:val="21"/>
                <w:szCs w:val="21"/>
                <w:lang w:bidi="ar"/>
              </w:rPr>
              <w:t>Ⅲ</w:t>
            </w:r>
          </w:p>
        </w:tc>
      </w:tr>
    </w:tbl>
    <w:p>
      <w:pPr>
        <w:spacing w:line="580" w:lineRule="exact"/>
        <w:ind w:firstLine="0" w:firstLineChars="0"/>
        <w:rPr>
          <w:rFonts w:ascii="Times New Roman" w:hAnsi="Times New Roman" w:eastAsia="仿宋_GB2312"/>
          <w:sz w:val="28"/>
          <w:szCs w:val="28"/>
        </w:rPr>
      </w:pPr>
    </w:p>
    <w:p>
      <w:pPr>
        <w:spacing w:line="580" w:lineRule="exact"/>
        <w:ind w:firstLine="0" w:firstLineChars="0"/>
        <w:rPr>
          <w:rFonts w:ascii="Times New Roman" w:hAnsi="Times New Roman" w:eastAsia="仿宋_GB2312"/>
          <w:sz w:val="28"/>
          <w:szCs w:val="28"/>
        </w:rPr>
      </w:pPr>
    </w:p>
    <w:p>
      <w:pPr>
        <w:spacing w:line="580" w:lineRule="exact"/>
        <w:ind w:firstLine="0" w:firstLineChars="0"/>
        <w:rPr>
          <w:rFonts w:ascii="Times New Roman" w:hAnsi="Times New Roman" w:eastAsia="仿宋_GB2312"/>
          <w:sz w:val="28"/>
          <w:szCs w:val="28"/>
        </w:rPr>
      </w:pPr>
    </w:p>
    <w:p>
      <w:pPr>
        <w:spacing w:line="580" w:lineRule="exact"/>
        <w:ind w:firstLine="0" w:firstLineChars="0"/>
        <w:rPr>
          <w:rFonts w:ascii="Times New Roman" w:hAnsi="Times New Roman" w:eastAsia="仿宋_GB2312"/>
          <w:sz w:val="28"/>
          <w:szCs w:val="28"/>
        </w:rPr>
        <w:sectPr>
          <w:pgSz w:w="16838" w:h="11906" w:orient="landscape"/>
          <w:pgMar w:top="1797" w:right="1440" w:bottom="1797" w:left="1440" w:header="851" w:footer="992" w:gutter="0"/>
          <w:cols w:space="720" w:num="1"/>
          <w:docGrid w:linePitch="326" w:charSpace="0"/>
        </w:sectPr>
      </w:pPr>
    </w:p>
    <w:p>
      <w:pPr>
        <w:pStyle w:val="3"/>
        <w:spacing w:before="120" w:beforeLines="50" w:afterLines="50" w:line="580" w:lineRule="exact"/>
        <w:rPr>
          <w:rFonts w:ascii="Times New Roman" w:hAnsi="Times New Roman" w:eastAsia="仿宋_GB2312"/>
        </w:rPr>
      </w:pPr>
      <w:bookmarkStart w:id="45" w:name="_Toc65568803"/>
      <w:bookmarkStart w:id="46" w:name="_Toc68612195"/>
      <w:r>
        <w:rPr>
          <w:rFonts w:ascii="Times New Roman" w:hAnsi="Times New Roman" w:eastAsia="仿宋_GB2312"/>
        </w:rPr>
        <w:t>2.4饮用水水源地现状调查</w:t>
      </w:r>
      <w:bookmarkEnd w:id="45"/>
      <w:bookmarkEnd w:id="46"/>
    </w:p>
    <w:p>
      <w:pPr>
        <w:pStyle w:val="91"/>
        <w:spacing w:before="0" w:after="0"/>
        <w:ind w:left="0" w:leftChars="0" w:firstLine="562" w:firstLineChars="200"/>
        <w:rPr>
          <w:rFonts w:eastAsia="仿宋_GB2312"/>
          <w:color w:val="auto"/>
        </w:rPr>
      </w:pPr>
      <w:bookmarkStart w:id="47" w:name="_Toc68612196"/>
      <w:r>
        <w:rPr>
          <w:rFonts w:eastAsia="仿宋_GB2312"/>
          <w:color w:val="auto"/>
        </w:rPr>
        <w:t>2.4.1龙岗镇华光潭一级水库</w:t>
      </w:r>
      <w:bookmarkEnd w:id="47"/>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华光潭水库地处临安区昌化</w:t>
      </w:r>
      <w:r>
        <w:rPr>
          <w:rFonts w:hint="eastAsia" w:ascii="Times New Roman" w:hAnsi="Times New Roman" w:eastAsia="仿宋_GB2312"/>
          <w:snapToGrid w:val="0"/>
          <w:kern w:val="0"/>
          <w:sz w:val="28"/>
          <w:szCs w:val="28"/>
        </w:rPr>
        <w:t>溪支流昌北溪上</w:t>
      </w:r>
      <w:r>
        <w:rPr>
          <w:rFonts w:ascii="Times New Roman" w:hAnsi="Times New Roman" w:eastAsia="仿宋_GB2312"/>
          <w:snapToGrid w:val="0"/>
          <w:kern w:val="0"/>
          <w:sz w:val="28"/>
          <w:szCs w:val="28"/>
        </w:rPr>
        <w:t>，坐落</w:t>
      </w:r>
      <w:r>
        <w:rPr>
          <w:rFonts w:hint="eastAsia" w:ascii="Times New Roman" w:hAnsi="Times New Roman" w:eastAsia="仿宋_GB2312"/>
          <w:snapToGrid w:val="0"/>
          <w:kern w:val="0"/>
          <w:sz w:val="28"/>
          <w:szCs w:val="28"/>
        </w:rPr>
        <w:t>龙岗镇仙人塘村</w:t>
      </w:r>
      <w:r>
        <w:rPr>
          <w:rFonts w:ascii="Times New Roman" w:hAnsi="Times New Roman" w:eastAsia="仿宋_GB2312"/>
          <w:snapToGrid w:val="0"/>
          <w:kern w:val="0"/>
          <w:sz w:val="28"/>
          <w:szCs w:val="28"/>
        </w:rPr>
        <w:t>，其中华光潭一级水库总库容8257万m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，是一座集水利水电、抗洪救灾等功能为一体的</w:t>
      </w:r>
      <w:r>
        <w:rPr>
          <w:rFonts w:hint="eastAsia" w:ascii="Times New Roman" w:hAnsi="Times New Roman" w:eastAsia="仿宋_GB2312"/>
          <w:snapToGrid w:val="0"/>
          <w:kern w:val="0"/>
          <w:sz w:val="28"/>
          <w:szCs w:val="28"/>
        </w:rPr>
        <w:t>中型</w:t>
      </w:r>
      <w:r>
        <w:rPr>
          <w:rFonts w:ascii="Times New Roman" w:hAnsi="Times New Roman" w:eastAsia="仿宋_GB2312"/>
          <w:snapToGrid w:val="0"/>
          <w:kern w:val="0"/>
          <w:sz w:val="28"/>
          <w:szCs w:val="28"/>
        </w:rPr>
        <w:t>水库。水库新建仙人塘水厂，水库经泵站取水，经过滤、消毒等一系列措施处理后，通过管线接入供水管网。华光潭一级水库日供水规模8000吨，供水范围包括龙岗镇部分片区、岛石镇</w:t>
      </w:r>
      <w:r>
        <w:rPr>
          <w:rFonts w:hint="eastAsia" w:ascii="Times New Roman" w:hAnsi="Times New Roman" w:eastAsia="仿宋_GB2312"/>
          <w:snapToGrid w:val="0"/>
          <w:kern w:val="0"/>
          <w:sz w:val="28"/>
          <w:szCs w:val="28"/>
        </w:rPr>
        <w:t>、新桥乡部分片区</w:t>
      </w:r>
      <w:r>
        <w:rPr>
          <w:rFonts w:ascii="Times New Roman" w:hAnsi="Times New Roman" w:eastAsia="仿宋_GB2312"/>
          <w:snapToGrid w:val="0"/>
          <w:kern w:val="0"/>
          <w:sz w:val="28"/>
          <w:szCs w:val="28"/>
        </w:rPr>
        <w:t>，受益人口约21625人。取水口位于华光潭一级水库大坝上游</w:t>
      </w:r>
      <w:r>
        <w:rPr>
          <w:rFonts w:hint="eastAsia" w:ascii="Times New Roman" w:hAnsi="Times New Roman" w:eastAsia="仿宋_GB2312"/>
          <w:snapToGrid w:val="0"/>
          <w:kern w:val="0"/>
          <w:sz w:val="28"/>
          <w:szCs w:val="28"/>
        </w:rPr>
        <w:t>约</w:t>
      </w:r>
      <w:r>
        <w:rPr>
          <w:rFonts w:ascii="Times New Roman" w:hAnsi="Times New Roman" w:eastAsia="仿宋_GB2312"/>
          <w:snapToGrid w:val="0"/>
          <w:kern w:val="0"/>
          <w:sz w:val="28"/>
          <w:szCs w:val="28"/>
        </w:rPr>
        <w:t>200m处，取水水源为华光潭一级</w:t>
      </w:r>
      <w:r>
        <w:rPr>
          <w:rFonts w:hint="eastAsia" w:ascii="Times New Roman" w:hAnsi="Times New Roman" w:eastAsia="仿宋_GB2312"/>
          <w:snapToGrid w:val="0"/>
          <w:kern w:val="0"/>
          <w:sz w:val="28"/>
          <w:szCs w:val="28"/>
        </w:rPr>
        <w:t>水库蓄水。</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color w:val="000000"/>
          <w:kern w:val="0"/>
          <w:sz w:val="28"/>
          <w:szCs w:val="28"/>
        </w:rPr>
        <w:t>根据遥感影像和现场复核调查发现，</w:t>
      </w:r>
      <w:r>
        <w:rPr>
          <w:rFonts w:ascii="Times New Roman" w:hAnsi="Times New Roman" w:eastAsia="仿宋_GB2312"/>
          <w:snapToGrid w:val="0"/>
          <w:kern w:val="0"/>
          <w:sz w:val="28"/>
          <w:szCs w:val="28"/>
        </w:rPr>
        <w:t>华光潭一级水库区域存在较大面积的</w:t>
      </w:r>
      <w:r>
        <w:rPr>
          <w:rFonts w:hint="eastAsia" w:ascii="Times New Roman" w:hAnsi="Times New Roman" w:eastAsia="仿宋_GB2312"/>
          <w:snapToGrid w:val="0"/>
          <w:kern w:val="0"/>
          <w:sz w:val="28"/>
          <w:szCs w:val="28"/>
        </w:rPr>
        <w:t>山</w:t>
      </w:r>
      <w:r>
        <w:rPr>
          <w:rFonts w:ascii="Times New Roman" w:hAnsi="Times New Roman" w:eastAsia="仿宋_GB2312"/>
          <w:snapToGrid w:val="0"/>
          <w:kern w:val="0"/>
          <w:sz w:val="28"/>
          <w:szCs w:val="28"/>
        </w:rPr>
        <w:t>核桃经济林，其农药、化肥的施用对华光潭一级水库水环境质量安全存在一定的风险性。取水口附近无工业污水排口，无养殖场分布</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北岸取水口附近存在两户原住民，沿线存在酒店等经营单位少许</w:t>
      </w:r>
      <w:r>
        <w:rPr>
          <w:rFonts w:hint="eastAsia" w:ascii="Times New Roman" w:hAnsi="Times New Roman" w:eastAsia="仿宋_GB2312"/>
          <w:snapToGrid w:val="0"/>
          <w:kern w:val="0"/>
          <w:sz w:val="28"/>
          <w:szCs w:val="28"/>
        </w:rPr>
        <w:t>；华光潭村有</w:t>
      </w:r>
      <w:r>
        <w:rPr>
          <w:rFonts w:ascii="Times New Roman" w:hAnsi="Times New Roman" w:eastAsia="仿宋_GB2312"/>
          <w:snapToGrid w:val="0"/>
          <w:kern w:val="0"/>
          <w:sz w:val="28"/>
          <w:szCs w:val="28"/>
        </w:rPr>
        <w:t>中国石化加油站一家</w:t>
      </w:r>
      <w:r>
        <w:rPr>
          <w:rFonts w:hint="eastAsia" w:ascii="Times New Roman" w:hAnsi="Times New Roman" w:eastAsia="仿宋_GB2312"/>
          <w:snapToGrid w:val="0"/>
          <w:kern w:val="0"/>
          <w:sz w:val="28"/>
          <w:szCs w:val="28"/>
        </w:rPr>
        <w:t>，距离华光潭一级水库直线距离约</w:t>
      </w:r>
      <w:r>
        <w:rPr>
          <w:rFonts w:ascii="Times New Roman" w:hAnsi="Times New Roman" w:eastAsia="仿宋_GB2312"/>
          <w:snapToGrid w:val="0"/>
          <w:kern w:val="0"/>
          <w:sz w:val="28"/>
          <w:szCs w:val="28"/>
        </w:rPr>
        <w:t>400m</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南岸陆域沿线存在杨家、韩家、茶园村等</w:t>
      </w:r>
      <w:r>
        <w:rPr>
          <w:rFonts w:hint="eastAsia" w:ascii="Times New Roman" w:hAnsi="Times New Roman" w:eastAsia="仿宋_GB2312"/>
          <w:snapToGrid w:val="0"/>
          <w:kern w:val="0"/>
          <w:sz w:val="28"/>
          <w:szCs w:val="28"/>
        </w:rPr>
        <w:t>村庄</w:t>
      </w:r>
      <w:r>
        <w:rPr>
          <w:rFonts w:ascii="Times New Roman" w:hAnsi="Times New Roman" w:eastAsia="仿宋_GB2312"/>
          <w:snapToGrid w:val="0"/>
          <w:kern w:val="0"/>
          <w:sz w:val="28"/>
          <w:szCs w:val="28"/>
        </w:rPr>
        <w:t>，取水口上游1000m左右有华光潭大桥穿越水源，同时南北两岸有华浪线、华茶线等道路。</w:t>
      </w:r>
    </w:p>
    <w:p>
      <w:pPr>
        <w:autoSpaceDE w:val="0"/>
        <w:autoSpaceDN w:val="0"/>
        <w:adjustRightInd w:val="0"/>
        <w:spacing w:line="24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drawing>
          <wp:inline distT="0" distB="0" distL="0" distR="0">
            <wp:extent cx="2225040" cy="1870710"/>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 cstate="print">
                      <a:extLst>
                        <a:ext uri="{28A0092B-C50C-407E-A947-70E740481C1C}">
                          <a14:useLocalDpi xmlns:a14="http://schemas.microsoft.com/office/drawing/2010/main" val="0"/>
                        </a:ext>
                      </a:extLst>
                    </a:blip>
                    <a:srcRect l="33114"/>
                    <a:stretch>
                      <a:fillRect/>
                    </a:stretch>
                  </pic:blipFill>
                  <pic:spPr>
                    <a:xfrm>
                      <a:off x="0" y="0"/>
                      <a:ext cx="2243920" cy="1886889"/>
                    </a:xfrm>
                    <a:prstGeom prst="rect">
                      <a:avLst/>
                    </a:prstGeom>
                    <a:noFill/>
                    <a:ln>
                      <a:noFill/>
                    </a:ln>
                  </pic:spPr>
                </pic:pic>
              </a:graphicData>
            </a:graphic>
          </wp:inline>
        </w:drawing>
      </w:r>
      <w:r>
        <w:rPr>
          <w:rFonts w:ascii="Times New Roman" w:hAnsi="Times New Roman" w:eastAsia="仿宋_GB2312"/>
          <w:snapToGrid w:val="0"/>
          <w:kern w:val="0"/>
          <w:sz w:val="28"/>
          <w:szCs w:val="28"/>
        </w:rPr>
        <w:t xml:space="preserve">  </w:t>
      </w:r>
      <w:r>
        <w:rPr>
          <w:rFonts w:ascii="Times New Roman" w:hAnsi="Times New Roman" w:eastAsia="仿宋_GB2312"/>
          <w:snapToGrid w:val="0"/>
          <w:kern w:val="0"/>
          <w:sz w:val="28"/>
          <w:szCs w:val="28"/>
        </w:rPr>
        <w:drawing>
          <wp:inline distT="0" distB="0" distL="0" distR="0">
            <wp:extent cx="2472690" cy="1854835"/>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482630" cy="1862570"/>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图2.4-1 华光潭一级水库</w:t>
      </w:r>
      <w:r>
        <w:rPr>
          <w:rFonts w:hint="eastAsia" w:ascii="Times New Roman" w:eastAsia="仿宋_GB2312"/>
          <w:sz w:val="24"/>
          <w:szCs w:val="24"/>
        </w:rPr>
        <w:t>周边情况照片</w:t>
      </w:r>
    </w:p>
    <w:p>
      <w:pPr>
        <w:pStyle w:val="91"/>
        <w:spacing w:before="0" w:after="0" w:line="580" w:lineRule="exact"/>
        <w:ind w:left="0" w:leftChars="0" w:firstLine="562" w:firstLineChars="200"/>
        <w:rPr>
          <w:rFonts w:eastAsia="仿宋_GB2312"/>
          <w:color w:val="auto"/>
        </w:rPr>
      </w:pPr>
      <w:bookmarkStart w:id="48" w:name="_Toc68612197"/>
      <w:r>
        <w:rPr>
          <w:rFonts w:eastAsia="仿宋_GB2312"/>
          <w:color w:val="auto"/>
        </w:rPr>
        <w:t>2.4.2 板桥镇居仁水库</w:t>
      </w:r>
      <w:bookmarkEnd w:id="48"/>
    </w:p>
    <w:p>
      <w:pPr>
        <w:spacing w:line="580" w:lineRule="exact"/>
        <w:ind w:firstLine="560"/>
        <w:rPr>
          <w:rFonts w:ascii="Times New Roman" w:hAnsi="Times New Roman" w:eastAsia="仿宋_GB2312"/>
          <w:sz w:val="28"/>
          <w:szCs w:val="28"/>
        </w:rPr>
      </w:pPr>
      <w:r>
        <w:rPr>
          <w:rFonts w:ascii="Times New Roman" w:hAnsi="Times New Roman" w:eastAsia="仿宋_GB2312"/>
          <w:snapToGrid w:val="0"/>
          <w:kern w:val="0"/>
          <w:sz w:val="28"/>
          <w:szCs w:val="28"/>
        </w:rPr>
        <w:t>板桥镇居仁水库</w:t>
      </w:r>
      <w:r>
        <w:rPr>
          <w:rFonts w:ascii="Times New Roman" w:hAnsi="Times New Roman" w:eastAsia="仿宋_GB2312"/>
          <w:sz w:val="28"/>
          <w:szCs w:val="28"/>
        </w:rPr>
        <w:t>位于板桥镇居仁村东南侧1km处，总库容约62万m</w:t>
      </w:r>
      <w:r>
        <w:rPr>
          <w:rFonts w:ascii="Times New Roman" w:hAnsi="Times New Roman" w:eastAsia="仿宋_GB2312"/>
          <w:sz w:val="28"/>
          <w:szCs w:val="28"/>
          <w:vertAlign w:val="superscript"/>
        </w:rPr>
        <w:t>3</w:t>
      </w:r>
      <w:r>
        <w:rPr>
          <w:rFonts w:ascii="Times New Roman" w:hAnsi="Times New Roman" w:eastAsia="仿宋_GB2312"/>
          <w:sz w:val="28"/>
          <w:szCs w:val="28"/>
        </w:rPr>
        <w:t>，水库水以自流方式进入</w:t>
      </w:r>
      <w:r>
        <w:rPr>
          <w:rFonts w:hint="eastAsia" w:ascii="Times New Roman" w:hAnsi="Times New Roman" w:eastAsia="仿宋_GB2312"/>
          <w:sz w:val="28"/>
          <w:szCs w:val="28"/>
        </w:rPr>
        <w:t>花戏</w:t>
      </w:r>
      <w:r>
        <w:rPr>
          <w:rFonts w:ascii="Times New Roman" w:hAnsi="Times New Roman" w:eastAsia="仿宋_GB2312"/>
          <w:sz w:val="28"/>
          <w:szCs w:val="28"/>
        </w:rPr>
        <w:t>村饮用水提升改造工程，经水站过滤、消毒等一系列措施后，通过管线接入板桥镇花戏片水厂，水厂</w:t>
      </w:r>
      <w:r>
        <w:rPr>
          <w:rFonts w:hint="eastAsia" w:ascii="Times New Roman" w:hAnsi="Times New Roman" w:eastAsia="仿宋_GB2312"/>
          <w:sz w:val="28"/>
          <w:szCs w:val="28"/>
        </w:rPr>
        <w:t>设计</w:t>
      </w:r>
      <w:r>
        <w:rPr>
          <w:rFonts w:ascii="Times New Roman" w:hAnsi="Times New Roman" w:eastAsia="仿宋_GB2312"/>
          <w:sz w:val="28"/>
          <w:szCs w:val="28"/>
        </w:rPr>
        <w:t>日供水规模2000吨，供水范围为板桥镇花戏村、上田村、桃源村，受益人口约6713人。根据遥感影像和现场复核调查，居仁水库保护范围内土地利用现状以林地和耕地为主，水库现状水质较好，水体中各项常规指标均达到《地表水环境质量标准》（GB3838-2002）Ⅱ类水质要求。水库周边主要为山地及林地，无工业污水排口，无养殖场分布，水库西侧范围存在零星原住居民。</w:t>
      </w:r>
    </w:p>
    <w:p>
      <w:pPr>
        <w:autoSpaceDE w:val="0"/>
        <w:autoSpaceDN w:val="0"/>
        <w:adjustRightInd w:val="0"/>
        <w:spacing w:line="24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drawing>
          <wp:inline distT="0" distB="0" distL="0" distR="0">
            <wp:extent cx="2293620" cy="170688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310952" cy="1720090"/>
                    </a:xfrm>
                    <a:prstGeom prst="rect">
                      <a:avLst/>
                    </a:prstGeom>
                    <a:noFill/>
                    <a:ln>
                      <a:noFill/>
                    </a:ln>
                  </pic:spPr>
                </pic:pic>
              </a:graphicData>
            </a:graphic>
          </wp:inline>
        </w:drawing>
      </w:r>
      <w:r>
        <w:rPr>
          <w:rFonts w:ascii="Times New Roman" w:hAnsi="Times New Roman" w:eastAsia="仿宋_GB2312"/>
          <w:snapToGrid w:val="0"/>
          <w:kern w:val="0"/>
          <w:sz w:val="28"/>
          <w:szCs w:val="28"/>
        </w:rPr>
        <w:t xml:space="preserve">  </w:t>
      </w:r>
      <w:r>
        <w:rPr>
          <w:rFonts w:ascii="Times New Roman" w:hAnsi="Times New Roman" w:eastAsia="仿宋_GB2312"/>
          <w:snapToGrid w:val="0"/>
          <w:kern w:val="0"/>
          <w:sz w:val="28"/>
          <w:szCs w:val="28"/>
        </w:rPr>
        <w:drawing>
          <wp:inline distT="0" distB="0" distL="0" distR="0">
            <wp:extent cx="2395855" cy="1783080"/>
            <wp:effectExtent l="0" t="0" r="4445"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415253" cy="1797723"/>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图2.4-2 板桥镇居仁水库</w:t>
      </w:r>
      <w:r>
        <w:rPr>
          <w:rFonts w:hint="eastAsia" w:ascii="Times New Roman" w:eastAsia="仿宋_GB2312"/>
          <w:sz w:val="24"/>
          <w:szCs w:val="24"/>
        </w:rPr>
        <w:t>周边情况照片</w:t>
      </w:r>
    </w:p>
    <w:p>
      <w:pPr>
        <w:pStyle w:val="91"/>
        <w:spacing w:before="0" w:after="0" w:line="580" w:lineRule="exact"/>
        <w:ind w:left="0" w:leftChars="0" w:firstLine="562" w:firstLineChars="200"/>
        <w:rPr>
          <w:rFonts w:eastAsia="仿宋_GB2312"/>
          <w:color w:val="auto"/>
        </w:rPr>
      </w:pPr>
      <w:bookmarkStart w:id="49" w:name="_Toc68612198"/>
      <w:r>
        <w:rPr>
          <w:rFonts w:eastAsia="仿宋_GB2312"/>
          <w:color w:val="auto"/>
        </w:rPr>
        <w:t>2.4.3 河桥镇江岭水库</w:t>
      </w:r>
      <w:bookmarkEnd w:id="49"/>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河桥镇江岭水库位于河桥镇学川村，水库总库容106万m</w:t>
      </w:r>
      <w:r>
        <w:rPr>
          <w:rFonts w:ascii="Times New Roman" w:hAnsi="Times New Roman" w:eastAsia="仿宋_GB2312"/>
          <w:sz w:val="28"/>
          <w:szCs w:val="28"/>
          <w:vertAlign w:val="superscript"/>
        </w:rPr>
        <w:t>3</w:t>
      </w:r>
      <w:r>
        <w:rPr>
          <w:rFonts w:ascii="Times New Roman" w:hAnsi="Times New Roman" w:eastAsia="仿宋_GB2312"/>
          <w:sz w:val="28"/>
          <w:szCs w:val="28"/>
        </w:rPr>
        <w:t>，是一座供水、灌溉及防洪等功能的小型水库，水库以自流方式通过管线接入石瑞联村供水工程，经过滤、消毒等</w:t>
      </w:r>
      <w:r>
        <w:rPr>
          <w:rFonts w:ascii="Times New Roman" w:hAnsi="Times New Roman" w:eastAsia="仿宋_GB2312"/>
          <w:snapToGrid w:val="0"/>
          <w:kern w:val="0"/>
          <w:sz w:val="28"/>
          <w:szCs w:val="28"/>
        </w:rPr>
        <w:t>一系列</w:t>
      </w:r>
      <w:r>
        <w:rPr>
          <w:rFonts w:ascii="Times New Roman" w:hAnsi="Times New Roman" w:eastAsia="仿宋_GB2312"/>
          <w:sz w:val="28"/>
          <w:szCs w:val="28"/>
        </w:rPr>
        <w:t>措施处理后，通过管线接入石瑞水厂，水厂</w:t>
      </w:r>
      <w:r>
        <w:rPr>
          <w:rFonts w:hint="eastAsia" w:ascii="Times New Roman" w:hAnsi="Times New Roman" w:eastAsia="仿宋_GB2312"/>
          <w:sz w:val="28"/>
          <w:szCs w:val="28"/>
        </w:rPr>
        <w:t>设计</w:t>
      </w:r>
      <w:r>
        <w:rPr>
          <w:rFonts w:ascii="Times New Roman" w:hAnsi="Times New Roman" w:eastAsia="仿宋_GB2312"/>
          <w:sz w:val="28"/>
          <w:szCs w:val="28"/>
        </w:rPr>
        <w:t>日供水规模2000吨，覆盖范围包括学川村、金燕村、蒲村村、秀溪村、七都村，受益人口约8091人。</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color w:val="000000"/>
          <w:kern w:val="0"/>
          <w:sz w:val="28"/>
          <w:szCs w:val="28"/>
        </w:rPr>
        <w:t>根据遥感影像和现场复核调查发现，江岭水库保护区范围内土地利用现状以林地、道路为主，水库</w:t>
      </w:r>
      <w:r>
        <w:rPr>
          <w:rFonts w:ascii="Times New Roman" w:hAnsi="Times New Roman" w:eastAsia="仿宋_GB2312"/>
          <w:snapToGrid w:val="0"/>
          <w:kern w:val="0"/>
          <w:sz w:val="28"/>
          <w:szCs w:val="28"/>
        </w:rPr>
        <w:t>现状</w:t>
      </w:r>
      <w:r>
        <w:rPr>
          <w:rFonts w:ascii="Times New Roman" w:hAnsi="Times New Roman" w:eastAsia="仿宋_GB2312"/>
          <w:color w:val="000000"/>
          <w:kern w:val="0"/>
          <w:sz w:val="28"/>
          <w:szCs w:val="28"/>
        </w:rPr>
        <w:t>水质较好，水体各项指标基本符合</w:t>
      </w:r>
      <w:r>
        <w:rPr>
          <w:rFonts w:ascii="Times New Roman" w:hAnsi="Times New Roman" w:eastAsia="仿宋_GB2312"/>
          <w:sz w:val="28"/>
          <w:szCs w:val="28"/>
        </w:rPr>
        <w:t>《地表水环境质量标准》（GB3838-2002）Ⅱ类水质要求，取水口周边无工业污水排口，无养殖场分布</w:t>
      </w:r>
      <w:r>
        <w:rPr>
          <w:rFonts w:ascii="Times New Roman" w:hAnsi="Times New Roman" w:eastAsia="仿宋_GB2312"/>
          <w:color w:val="000000"/>
          <w:kern w:val="0"/>
          <w:sz w:val="28"/>
          <w:szCs w:val="28"/>
        </w:rPr>
        <w:t>，水库二级保护区范围有309县道穿越。</w:t>
      </w:r>
    </w:p>
    <w:p>
      <w:pPr>
        <w:autoSpaceDE w:val="0"/>
        <w:autoSpaceDN w:val="0"/>
        <w:adjustRightInd w:val="0"/>
        <w:spacing w:line="24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drawing>
          <wp:inline distT="0" distB="0" distL="0" distR="0">
            <wp:extent cx="2204720" cy="1829435"/>
            <wp:effectExtent l="0" t="0" r="508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237259" cy="1856308"/>
                    </a:xfrm>
                    <a:prstGeom prst="rect">
                      <a:avLst/>
                    </a:prstGeom>
                    <a:noFill/>
                    <a:ln>
                      <a:noFill/>
                    </a:ln>
                  </pic:spPr>
                </pic:pic>
              </a:graphicData>
            </a:graphic>
          </wp:inline>
        </w:drawing>
      </w:r>
      <w:r>
        <w:rPr>
          <w:rFonts w:ascii="Times New Roman" w:hAnsi="Times New Roman" w:eastAsia="仿宋_GB2312"/>
          <w:snapToGrid w:val="0"/>
          <w:kern w:val="0"/>
          <w:sz w:val="28"/>
          <w:szCs w:val="28"/>
        </w:rPr>
        <w:t xml:space="preserve">  </w:t>
      </w:r>
      <w:r>
        <w:rPr>
          <w:rFonts w:ascii="Times New Roman" w:hAnsi="Times New Roman" w:eastAsia="仿宋_GB2312"/>
          <w:snapToGrid w:val="0"/>
          <w:kern w:val="0"/>
          <w:sz w:val="28"/>
          <w:szCs w:val="28"/>
        </w:rPr>
        <w:drawing>
          <wp:inline distT="0" distB="0" distL="0" distR="0">
            <wp:extent cx="2540635" cy="1826260"/>
            <wp:effectExtent l="0" t="0" r="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562792" cy="1842281"/>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图2.4-3 河桥镇江岭水库</w:t>
      </w:r>
      <w:r>
        <w:rPr>
          <w:rFonts w:hint="eastAsia" w:ascii="Times New Roman" w:eastAsia="仿宋_GB2312"/>
          <w:sz w:val="24"/>
          <w:szCs w:val="24"/>
        </w:rPr>
        <w:t>周边情况照片</w:t>
      </w:r>
    </w:p>
    <w:p>
      <w:pPr>
        <w:pStyle w:val="91"/>
        <w:spacing w:before="0" w:after="0" w:line="580" w:lineRule="exact"/>
        <w:ind w:left="0" w:leftChars="0" w:firstLine="562" w:firstLineChars="200"/>
        <w:rPr>
          <w:rFonts w:eastAsia="仿宋_GB2312"/>
          <w:color w:val="auto"/>
        </w:rPr>
      </w:pPr>
      <w:bookmarkStart w:id="50" w:name="_Toc68612199"/>
      <w:r>
        <w:rPr>
          <w:rFonts w:eastAsia="仿宋_GB2312"/>
          <w:color w:val="auto"/>
        </w:rPr>
        <w:t>2.4.4 岛石镇喷洞水库</w:t>
      </w:r>
      <w:bookmarkEnd w:id="50"/>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岛石镇喷洞水库位于岛石镇</w:t>
      </w:r>
      <w:r>
        <w:rPr>
          <w:rFonts w:hint="eastAsia" w:ascii="Times New Roman" w:hAnsi="Times New Roman" w:eastAsia="仿宋_GB2312"/>
          <w:snapToGrid w:val="0"/>
          <w:kern w:val="0"/>
          <w:sz w:val="28"/>
          <w:szCs w:val="28"/>
        </w:rPr>
        <w:t>仁里村西侧1</w:t>
      </w:r>
      <w:r>
        <w:rPr>
          <w:rFonts w:ascii="Times New Roman" w:hAnsi="Times New Roman" w:eastAsia="仿宋_GB2312"/>
          <w:snapToGrid w:val="0"/>
          <w:kern w:val="0"/>
          <w:sz w:val="28"/>
          <w:szCs w:val="28"/>
        </w:rPr>
        <w:t>.4km</w:t>
      </w:r>
      <w:r>
        <w:rPr>
          <w:rFonts w:hint="eastAsia" w:ascii="Times New Roman" w:hAnsi="Times New Roman" w:eastAsia="仿宋_GB2312"/>
          <w:snapToGrid w:val="0"/>
          <w:kern w:val="0"/>
          <w:sz w:val="28"/>
          <w:szCs w:val="28"/>
        </w:rPr>
        <w:t>处</w:t>
      </w:r>
      <w:r>
        <w:rPr>
          <w:rFonts w:ascii="Times New Roman" w:hAnsi="Times New Roman" w:eastAsia="仿宋_GB2312"/>
          <w:snapToGrid w:val="0"/>
          <w:kern w:val="0"/>
          <w:sz w:val="28"/>
          <w:szCs w:val="28"/>
        </w:rPr>
        <w:t>，水库总库容约15万m</w:t>
      </w:r>
      <w:r>
        <w:rPr>
          <w:rFonts w:ascii="Times New Roman" w:hAnsi="Times New Roman" w:eastAsia="仿宋_GB2312"/>
          <w:snapToGrid w:val="0"/>
          <w:kern w:val="0"/>
          <w:sz w:val="28"/>
          <w:szCs w:val="28"/>
          <w:vertAlign w:val="superscript"/>
        </w:rPr>
        <w:t>3</w:t>
      </w:r>
      <w:r>
        <w:rPr>
          <w:rFonts w:ascii="Times New Roman" w:hAnsi="Times New Roman" w:eastAsia="仿宋_GB2312"/>
          <w:snapToGrid w:val="0"/>
          <w:kern w:val="0"/>
          <w:sz w:val="28"/>
          <w:szCs w:val="28"/>
        </w:rPr>
        <w:t>，水库水通过管线接入岛石镇水厂，日供水规模2000吨，是岛石镇联村供水的水源之一，备用水源为深坑山塘，受益人口约9060人，供水服务范围包括山川村在内的5个行政村。</w:t>
      </w:r>
      <w:r>
        <w:rPr>
          <w:rFonts w:hint="eastAsia" w:ascii="Times New Roman" w:hAnsi="Times New Roman" w:eastAsia="仿宋_GB2312"/>
          <w:snapToGrid w:val="0"/>
          <w:kern w:val="0"/>
          <w:sz w:val="28"/>
          <w:szCs w:val="28"/>
        </w:rPr>
        <w:t>喷洞水库西侧为安徽境内，不属于杭州市管辖区范围。</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color w:val="000000"/>
          <w:kern w:val="0"/>
          <w:sz w:val="28"/>
          <w:szCs w:val="28"/>
        </w:rPr>
        <w:t>根据遥感影像和现场复核调查发现，喷洞水库保护区范围内土地利用现状以林地为主，水库现状水质较好，水体各项指标符合</w:t>
      </w:r>
      <w:r>
        <w:rPr>
          <w:rFonts w:ascii="Times New Roman" w:hAnsi="Times New Roman" w:eastAsia="仿宋_GB2312"/>
          <w:sz w:val="28"/>
          <w:szCs w:val="28"/>
        </w:rPr>
        <w:t>《地表水环境质量标准》（GB3838-2002）Ⅱ类水质要求，取水口周边无工业污水排口，无养殖场分布</w:t>
      </w:r>
      <w:r>
        <w:rPr>
          <w:rFonts w:ascii="Times New Roman" w:hAnsi="Times New Roman" w:eastAsia="仿宋_GB2312"/>
          <w:snapToGrid w:val="0"/>
          <w:kern w:val="0"/>
          <w:sz w:val="28"/>
          <w:szCs w:val="28"/>
        </w:rPr>
        <w:t>。</w:t>
      </w:r>
    </w:p>
    <w:p>
      <w:pPr>
        <w:autoSpaceDE w:val="0"/>
        <w:autoSpaceDN w:val="0"/>
        <w:adjustRightInd w:val="0"/>
        <w:spacing w:line="24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drawing>
          <wp:inline distT="0" distB="0" distL="0" distR="0">
            <wp:extent cx="2310130" cy="1730375"/>
            <wp:effectExtent l="0" t="0" r="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328960" cy="1744428"/>
                    </a:xfrm>
                    <a:prstGeom prst="rect">
                      <a:avLst/>
                    </a:prstGeom>
                    <a:noFill/>
                    <a:ln>
                      <a:noFill/>
                    </a:ln>
                  </pic:spPr>
                </pic:pic>
              </a:graphicData>
            </a:graphic>
          </wp:inline>
        </w:drawing>
      </w:r>
      <w:r>
        <w:rPr>
          <w:rFonts w:ascii="Times New Roman" w:hAnsi="Times New Roman" w:eastAsia="仿宋_GB2312"/>
          <w:snapToGrid w:val="0"/>
          <w:kern w:val="0"/>
          <w:sz w:val="28"/>
          <w:szCs w:val="28"/>
        </w:rPr>
        <w:t xml:space="preserve">  </w:t>
      </w:r>
      <w:r>
        <w:rPr>
          <w:rFonts w:ascii="Times New Roman" w:hAnsi="Times New Roman" w:eastAsia="仿宋_GB2312"/>
          <w:snapToGrid w:val="0"/>
          <w:kern w:val="0"/>
          <w:sz w:val="28"/>
          <w:szCs w:val="28"/>
        </w:rPr>
        <w:drawing>
          <wp:inline distT="0" distB="0" distL="0" distR="0">
            <wp:extent cx="2331720" cy="173545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358415" cy="1755418"/>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图2.4-4 岛石镇喷洞水库</w:t>
      </w:r>
      <w:r>
        <w:rPr>
          <w:rFonts w:hint="eastAsia" w:ascii="Times New Roman" w:eastAsia="仿宋_GB2312"/>
          <w:sz w:val="24"/>
          <w:szCs w:val="24"/>
        </w:rPr>
        <w:t>周边情况照片</w:t>
      </w:r>
    </w:p>
    <w:p>
      <w:pPr>
        <w:pStyle w:val="91"/>
        <w:spacing w:before="0" w:after="0" w:line="580" w:lineRule="exact"/>
        <w:ind w:left="0" w:leftChars="0" w:firstLine="562" w:firstLineChars="200"/>
        <w:rPr>
          <w:rFonts w:eastAsia="仿宋_GB2312"/>
          <w:color w:val="auto"/>
        </w:rPr>
      </w:pPr>
      <w:bookmarkStart w:id="51" w:name="_Toc68612200"/>
      <w:r>
        <w:rPr>
          <w:rFonts w:eastAsia="仿宋_GB2312"/>
          <w:color w:val="auto"/>
        </w:rPr>
        <w:t>2.4.5 太湖源镇夏村水库</w:t>
      </w:r>
      <w:bookmarkEnd w:id="51"/>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太湖源镇夏村水库</w:t>
      </w:r>
      <w:r>
        <w:rPr>
          <w:rFonts w:ascii="Times New Roman" w:hAnsi="Times New Roman" w:eastAsia="仿宋_GB2312"/>
          <w:sz w:val="28"/>
          <w:szCs w:val="28"/>
        </w:rPr>
        <w:t>位于太湖源镇夏村村，水库总库容约51.4万m</w:t>
      </w:r>
      <w:r>
        <w:rPr>
          <w:rFonts w:ascii="Times New Roman" w:hAnsi="Times New Roman" w:eastAsia="仿宋_GB2312"/>
          <w:sz w:val="28"/>
          <w:szCs w:val="28"/>
          <w:vertAlign w:val="superscript"/>
        </w:rPr>
        <w:t>3</w:t>
      </w:r>
      <w:r>
        <w:rPr>
          <w:rFonts w:ascii="Times New Roman" w:hAnsi="Times New Roman" w:eastAsia="仿宋_GB2312"/>
          <w:sz w:val="28"/>
          <w:szCs w:val="28"/>
        </w:rPr>
        <w:t>，水库以自流方式通过管线接入夏村联村供水工程，经过过滤、消毒等一系列处理后，接入夏村水厂，日供水规模1350吨，覆盖范围包括畈龙村、横徐村、光辉村、碧淙村、南庄村等，受益人口约7319人。</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color w:val="000000"/>
          <w:kern w:val="0"/>
          <w:sz w:val="28"/>
          <w:szCs w:val="28"/>
        </w:rPr>
        <w:t>根据遥感影像和现场复核调查</w:t>
      </w:r>
      <w:r>
        <w:rPr>
          <w:rFonts w:ascii="Times New Roman" w:hAnsi="Times New Roman" w:eastAsia="仿宋_GB2312"/>
          <w:snapToGrid w:val="0"/>
          <w:kern w:val="0"/>
          <w:sz w:val="28"/>
          <w:szCs w:val="28"/>
        </w:rPr>
        <w:t>发现</w:t>
      </w:r>
      <w:r>
        <w:rPr>
          <w:rFonts w:ascii="Times New Roman" w:hAnsi="Times New Roman" w:eastAsia="仿宋_GB2312"/>
          <w:color w:val="000000"/>
          <w:kern w:val="0"/>
          <w:sz w:val="28"/>
          <w:szCs w:val="28"/>
        </w:rPr>
        <w:t>，夏村水库保护区范围内土地利用现状以林地、耕地为主，水库现状水质较好，水体各项指标符合</w:t>
      </w:r>
      <w:r>
        <w:rPr>
          <w:rFonts w:ascii="Times New Roman" w:hAnsi="Times New Roman" w:eastAsia="仿宋_GB2312"/>
          <w:sz w:val="28"/>
          <w:szCs w:val="28"/>
        </w:rPr>
        <w:t>《地表水环境质量标准》（GB3838-2002）Ⅱ类水质要求，取水口周边无工业污水排口，无养殖场分布</w:t>
      </w:r>
      <w:r>
        <w:rPr>
          <w:rFonts w:ascii="Times New Roman" w:hAnsi="Times New Roman" w:eastAsia="仿宋_GB2312"/>
          <w:color w:val="000000"/>
          <w:kern w:val="0"/>
          <w:sz w:val="28"/>
          <w:szCs w:val="28"/>
        </w:rPr>
        <w:t>，</w:t>
      </w:r>
      <w:r>
        <w:rPr>
          <w:rFonts w:ascii="Times New Roman" w:hAnsi="Times New Roman" w:eastAsia="仿宋_GB2312"/>
          <w:snapToGrid w:val="0"/>
          <w:kern w:val="0"/>
          <w:sz w:val="28"/>
          <w:szCs w:val="28"/>
        </w:rPr>
        <w:t>水库取水口附近存在部分夏村村原住民。</w:t>
      </w:r>
    </w:p>
    <w:p>
      <w:pPr>
        <w:pStyle w:val="54"/>
        <w:spacing w:before="0" w:line="240" w:lineRule="auto"/>
        <w:ind w:firstLine="0" w:firstLineChars="0"/>
        <w:jc w:val="center"/>
        <w:rPr>
          <w:rFonts w:ascii="Times New Roman" w:hAnsi="Times New Roman" w:eastAsia="仿宋_GB2312"/>
          <w:b/>
          <w:bCs/>
          <w:snapToGrid w:val="0"/>
          <w:kern w:val="0"/>
          <w:sz w:val="28"/>
          <w:szCs w:val="28"/>
        </w:rPr>
      </w:pPr>
      <w:r>
        <w:rPr>
          <w:rFonts w:ascii="Times New Roman" w:hAnsi="Times New Roman" w:eastAsia="仿宋_GB2312"/>
          <w:b/>
          <w:bCs/>
          <w:snapToGrid w:val="0"/>
          <w:kern w:val="0"/>
          <w:sz w:val="28"/>
          <w:szCs w:val="28"/>
        </w:rPr>
        <w:drawing>
          <wp:inline distT="0" distB="0" distL="0" distR="0">
            <wp:extent cx="2252345" cy="18688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89339" cy="1899520"/>
                    </a:xfrm>
                    <a:prstGeom prst="rect">
                      <a:avLst/>
                    </a:prstGeom>
                    <a:noFill/>
                    <a:ln>
                      <a:noFill/>
                    </a:ln>
                  </pic:spPr>
                </pic:pic>
              </a:graphicData>
            </a:graphic>
          </wp:inline>
        </w:drawing>
      </w:r>
      <w:r>
        <w:rPr>
          <w:rFonts w:ascii="Times New Roman" w:hAnsi="Times New Roman" w:eastAsia="仿宋_GB2312"/>
          <w:b/>
          <w:bCs/>
          <w:snapToGrid w:val="0"/>
          <w:kern w:val="0"/>
          <w:sz w:val="28"/>
          <w:szCs w:val="28"/>
        </w:rPr>
        <w:t xml:space="preserve">  </w:t>
      </w:r>
      <w:r>
        <w:rPr>
          <w:rFonts w:ascii="Times New Roman" w:hAnsi="Times New Roman" w:eastAsia="仿宋_GB2312"/>
          <w:b/>
          <w:bCs/>
          <w:snapToGrid w:val="0"/>
          <w:kern w:val="0"/>
          <w:sz w:val="28"/>
          <w:szCs w:val="28"/>
        </w:rPr>
        <w:drawing>
          <wp:inline distT="0" distB="0" distL="0" distR="0">
            <wp:extent cx="2527300" cy="1868805"/>
            <wp:effectExtent l="0" t="0" r="635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559403" cy="1893032"/>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图2.4-5 太湖源镇夏村水库</w:t>
      </w:r>
      <w:r>
        <w:rPr>
          <w:rFonts w:hint="eastAsia" w:ascii="Times New Roman" w:eastAsia="仿宋_GB2312"/>
          <w:sz w:val="24"/>
          <w:szCs w:val="24"/>
        </w:rPr>
        <w:t>周边情况照片</w:t>
      </w:r>
    </w:p>
    <w:p>
      <w:pPr>
        <w:pStyle w:val="54"/>
        <w:spacing w:before="0" w:line="240" w:lineRule="auto"/>
        <w:ind w:firstLine="0" w:firstLineChars="0"/>
        <w:jc w:val="center"/>
        <w:rPr>
          <w:rFonts w:ascii="Times New Roman" w:hAnsi="Times New Roman" w:eastAsia="仿宋_GB2312"/>
          <w:b/>
          <w:bCs/>
          <w:snapToGrid w:val="0"/>
          <w:kern w:val="0"/>
          <w:sz w:val="28"/>
          <w:szCs w:val="28"/>
        </w:rPr>
      </w:pPr>
    </w:p>
    <w:p>
      <w:pPr>
        <w:pStyle w:val="54"/>
        <w:spacing w:line="360" w:lineRule="auto"/>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br w:type="page"/>
      </w:r>
    </w:p>
    <w:p>
      <w:pPr>
        <w:pStyle w:val="96"/>
        <w:spacing w:beforeLines="50" w:after="120"/>
        <w:jc w:val="center"/>
        <w:rPr>
          <w:rFonts w:eastAsia="仿宋_GB2312"/>
        </w:rPr>
      </w:pPr>
      <w:bookmarkStart w:id="52" w:name="_Toc65568804"/>
      <w:bookmarkStart w:id="53" w:name="_Toc68612201"/>
      <w:r>
        <w:rPr>
          <w:rFonts w:eastAsia="仿宋_GB2312"/>
        </w:rPr>
        <w:t>第三章  划定方案及可行性分析</w:t>
      </w:r>
      <w:bookmarkEnd w:id="18"/>
      <w:bookmarkEnd w:id="52"/>
      <w:bookmarkEnd w:id="53"/>
    </w:p>
    <w:p>
      <w:pPr>
        <w:pStyle w:val="3"/>
        <w:spacing w:before="120" w:beforeLines="50" w:afterLines="50" w:line="580" w:lineRule="exact"/>
        <w:rPr>
          <w:rFonts w:ascii="Times New Roman" w:hAnsi="Times New Roman" w:eastAsia="仿宋_GB2312"/>
        </w:rPr>
      </w:pPr>
      <w:bookmarkStart w:id="54" w:name="_Toc59453426"/>
      <w:bookmarkStart w:id="55" w:name="_Toc65568805"/>
      <w:bookmarkStart w:id="56" w:name="_Toc68612202"/>
      <w:r>
        <w:rPr>
          <w:rFonts w:ascii="Times New Roman" w:hAnsi="Times New Roman" w:eastAsia="仿宋_GB2312"/>
        </w:rPr>
        <w:t>3.1划分技术原则</w:t>
      </w:r>
      <w:bookmarkEnd w:id="54"/>
      <w:bookmarkEnd w:id="55"/>
      <w:bookmarkEnd w:id="56"/>
    </w:p>
    <w:p>
      <w:pPr>
        <w:spacing w:line="580" w:lineRule="exact"/>
        <w:ind w:firstLine="562"/>
        <w:rPr>
          <w:rFonts w:ascii="Times New Roman" w:hAnsi="Times New Roman" w:eastAsia="仿宋_GB2312"/>
          <w:sz w:val="28"/>
          <w:szCs w:val="28"/>
        </w:rPr>
      </w:pPr>
      <w:r>
        <w:rPr>
          <w:rFonts w:ascii="Times New Roman" w:hAnsi="Times New Roman" w:eastAsia="仿宋_GB2312"/>
          <w:b/>
          <w:bCs/>
          <w:sz w:val="28"/>
          <w:szCs w:val="28"/>
        </w:rPr>
        <w:t>（1）保护优先原则。</w:t>
      </w:r>
      <w:r>
        <w:rPr>
          <w:rFonts w:ascii="Times New Roman" w:hAnsi="Times New Roman" w:eastAsia="仿宋_GB2312"/>
          <w:sz w:val="28"/>
          <w:szCs w:val="28"/>
        </w:rPr>
        <w:t>为了确保水源地水质，应对临安区华光潭一级水库、居仁水库、江岭水库、喷洞水库、夏村水库等饮用水源地以保护为主，</w:t>
      </w:r>
      <w:r>
        <w:rPr>
          <w:rFonts w:hint="eastAsia" w:ascii="Times New Roman" w:hAnsi="Times New Roman" w:eastAsia="仿宋_GB2312"/>
          <w:sz w:val="28"/>
          <w:szCs w:val="28"/>
        </w:rPr>
        <w:t>坚持问题导向，分类施策，严格管住新增问题，妥善处置存量问题。对保护区划定后的违法建设项目，坚决予以取缔；对保护区划定前已存在的建设项目，严格控制污染，逐步退出</w:t>
      </w:r>
      <w:r>
        <w:rPr>
          <w:rFonts w:ascii="Times New Roman" w:hAnsi="Times New Roman" w:eastAsia="仿宋_GB2312"/>
          <w:sz w:val="28"/>
          <w:szCs w:val="28"/>
        </w:rPr>
        <w:t>。</w:t>
      </w:r>
    </w:p>
    <w:p>
      <w:pPr>
        <w:spacing w:line="580" w:lineRule="exact"/>
        <w:ind w:firstLine="562"/>
        <w:rPr>
          <w:rFonts w:ascii="Times New Roman" w:hAnsi="Times New Roman" w:eastAsia="仿宋_GB2312"/>
          <w:sz w:val="28"/>
          <w:szCs w:val="28"/>
        </w:rPr>
      </w:pPr>
      <w:r>
        <w:rPr>
          <w:rFonts w:ascii="Times New Roman" w:hAnsi="Times New Roman" w:eastAsia="仿宋_GB2312"/>
          <w:b/>
          <w:bCs/>
          <w:sz w:val="28"/>
          <w:szCs w:val="28"/>
        </w:rPr>
        <w:t>（2）水质达标原则。</w:t>
      </w:r>
      <w:r>
        <w:rPr>
          <w:rFonts w:ascii="Times New Roman" w:hAnsi="Times New Roman" w:eastAsia="仿宋_GB2312"/>
          <w:sz w:val="28"/>
          <w:szCs w:val="28"/>
        </w:rPr>
        <w:t>饮用水源一级保护区水质各项指标达到国家《地表水质量标准》（GB3838-2002）中的Ⅱ类水质标准；二级保护区的水质，应当达到国家</w:t>
      </w:r>
      <w:r>
        <w:rPr>
          <w:rFonts w:ascii="Times New Roman" w:hAnsi="Times New Roman" w:eastAsia="仿宋_GB2312"/>
          <w:snapToGrid w:val="0"/>
          <w:kern w:val="0"/>
          <w:sz w:val="28"/>
          <w:szCs w:val="28"/>
        </w:rPr>
        <w:t>《地表水质量标准》</w:t>
      </w:r>
      <w:r>
        <w:rPr>
          <w:rFonts w:ascii="Times New Roman" w:hAnsi="Times New Roman" w:eastAsia="仿宋_GB2312"/>
          <w:sz w:val="28"/>
          <w:szCs w:val="28"/>
        </w:rPr>
        <w:t>（GB3838-2002）中的III类水质标准。</w:t>
      </w:r>
    </w:p>
    <w:p>
      <w:pPr>
        <w:spacing w:line="580" w:lineRule="exact"/>
        <w:ind w:firstLine="562"/>
        <w:rPr>
          <w:rFonts w:ascii="Times New Roman" w:hAnsi="Times New Roman" w:eastAsia="仿宋_GB2312"/>
          <w:sz w:val="28"/>
          <w:szCs w:val="28"/>
        </w:rPr>
      </w:pPr>
      <w:r>
        <w:rPr>
          <w:rFonts w:ascii="Times New Roman" w:hAnsi="Times New Roman" w:eastAsia="仿宋_GB2312"/>
          <w:b/>
          <w:bCs/>
          <w:sz w:val="28"/>
          <w:szCs w:val="28"/>
        </w:rPr>
        <w:t>（3）保护区范围最</w:t>
      </w:r>
      <w:r>
        <w:rPr>
          <w:rFonts w:hint="eastAsia" w:ascii="Times New Roman" w:hAnsi="Times New Roman" w:eastAsia="仿宋_GB2312"/>
          <w:b/>
          <w:bCs/>
          <w:sz w:val="28"/>
          <w:szCs w:val="28"/>
        </w:rPr>
        <w:t>优</w:t>
      </w:r>
      <w:r>
        <w:rPr>
          <w:rFonts w:ascii="Times New Roman" w:hAnsi="Times New Roman" w:eastAsia="仿宋_GB2312"/>
          <w:b/>
          <w:bCs/>
          <w:sz w:val="28"/>
          <w:szCs w:val="28"/>
        </w:rPr>
        <w:t>原则。</w:t>
      </w:r>
      <w:r>
        <w:rPr>
          <w:rFonts w:hint="eastAsia" w:ascii="Times New Roman" w:hAnsi="Times New Roman" w:eastAsia="仿宋_GB2312"/>
          <w:sz w:val="28"/>
          <w:szCs w:val="28"/>
        </w:rPr>
        <w:t>具体划分方法参照《饮用水水源保护区划分技术规范》（HJ/T338-2018），当水源保护区划分方法得到不完全相同的划分结果时，将结合水源地区域开发、自然环境条件确定合理范围，坚持依法依规和因地制宜相结合，合理确定保护区划定及保护标准，能划则划、科学定界、有效管理。</w:t>
      </w:r>
    </w:p>
    <w:p>
      <w:pPr>
        <w:pStyle w:val="3"/>
        <w:spacing w:before="120" w:beforeLines="50" w:afterLines="50" w:line="580" w:lineRule="exact"/>
        <w:rPr>
          <w:rFonts w:ascii="Times New Roman" w:hAnsi="Times New Roman" w:eastAsia="仿宋_GB2312"/>
        </w:rPr>
      </w:pPr>
      <w:bookmarkStart w:id="57" w:name="_Toc65568806"/>
      <w:bookmarkStart w:id="58" w:name="_Toc68612203"/>
      <w:r>
        <w:rPr>
          <w:rFonts w:ascii="Times New Roman" w:hAnsi="Times New Roman" w:eastAsia="仿宋_GB2312"/>
        </w:rPr>
        <w:t>3.2技术规范</w:t>
      </w:r>
      <w:bookmarkEnd w:id="57"/>
      <w:bookmarkEnd w:id="58"/>
    </w:p>
    <w:p>
      <w:pPr>
        <w:pStyle w:val="91"/>
        <w:spacing w:before="0" w:after="0"/>
        <w:ind w:left="0" w:leftChars="0" w:firstLine="562" w:firstLineChars="200"/>
        <w:rPr>
          <w:rFonts w:eastAsia="仿宋_GB2312"/>
          <w:color w:val="auto"/>
        </w:rPr>
      </w:pPr>
      <w:bookmarkStart w:id="59" w:name="_Toc66743155"/>
      <w:bookmarkStart w:id="60" w:name="_Toc68612204"/>
      <w:r>
        <w:rPr>
          <w:rFonts w:hint="eastAsia" w:eastAsia="仿宋_GB2312"/>
          <w:color w:val="auto"/>
        </w:rPr>
        <w:t>3.2.1河流型饮用水水源保护区的划分技术规范</w:t>
      </w:r>
      <w:bookmarkEnd w:id="59"/>
      <w:bookmarkEnd w:id="60"/>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1、一级保护区</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（1）水域范围</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一级保护区水域长度为取水口上游不小于1000米，下游不小于100米范围内的河道水域；一级保护区水域宽度为多年平均水位对应的高程线下的水域。</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（2）陆域范围</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陆域沿岸长度不小于相应的一级保护区水域长度；陆域沿岸纵深与一级保护区水域边界的距离一般不小于50米，但不超过流域分水岭的陆域范围。对于有防洪堤坝的，可以防洪堤坝为边界，并要采取措施，防止污染物进入保护区内。</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2、二级保护区</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（1）水域范围</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二级保护区长度从一级保护区的上游边界向上游（包括汇入的上游支流）延伸不小于2000米，下游侧的外边界距一级保护区边界不小于200m；二级保护区水域宽度为多年平均水位对应的高程线下的水域，有防洪堤的河段，二级保护区的水域宽度为防洪堤内的水域。</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（2）陆域范围</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二级保护区陆域沿岸长度不小于二级保护区水域长度；二级保护区陆域沿岸纵深范围一般不小于1000米，但不超过流域分水岭的陆域范围。对于流域面积小于100 km</w:t>
      </w:r>
      <w:r>
        <w:rPr>
          <w:rFonts w:hint="eastAsia" w:ascii="Times New Roman" w:hAnsi="Times New Roman" w:eastAsia="仿宋_GB2312"/>
          <w:sz w:val="28"/>
          <w:szCs w:val="28"/>
          <w:vertAlign w:val="superscript"/>
        </w:rPr>
        <w:t>2</w:t>
      </w:r>
      <w:r>
        <w:rPr>
          <w:rFonts w:hint="eastAsia" w:ascii="Times New Roman" w:hAnsi="Times New Roman" w:eastAsia="仿宋_GB2312"/>
          <w:sz w:val="28"/>
          <w:szCs w:val="28"/>
        </w:rPr>
        <w:t>的小型流域，二级保护区可以是整个集水范围。具体可依据自然地理、环境特征和环境管理需要确定。对于有防洪堤坝的，</w:t>
      </w:r>
      <w:r>
        <w:rPr>
          <w:rFonts w:hint="eastAsia" w:ascii="Times New Roman" w:hAnsi="Times New Roman" w:eastAsia="仿宋_GB2312"/>
          <w:snapToGrid w:val="0"/>
          <w:kern w:val="0"/>
          <w:sz w:val="28"/>
          <w:szCs w:val="28"/>
        </w:rPr>
        <w:t>可以</w:t>
      </w:r>
      <w:r>
        <w:rPr>
          <w:rFonts w:hint="eastAsia" w:ascii="Times New Roman" w:hAnsi="Times New Roman" w:eastAsia="仿宋_GB2312"/>
          <w:sz w:val="28"/>
          <w:szCs w:val="28"/>
        </w:rPr>
        <w:t>防洪堤坝为边界，并要采取措施，防止污染物进入</w:t>
      </w:r>
      <w:r>
        <w:rPr>
          <w:rFonts w:hint="eastAsia" w:ascii="Times New Roman" w:hAnsi="Times New Roman" w:eastAsia="仿宋_GB2312"/>
          <w:snapToGrid w:val="0"/>
          <w:kern w:val="0"/>
          <w:sz w:val="28"/>
          <w:szCs w:val="28"/>
        </w:rPr>
        <w:t>保护区</w:t>
      </w:r>
      <w:r>
        <w:rPr>
          <w:rFonts w:hint="eastAsia" w:ascii="Times New Roman" w:hAnsi="Times New Roman" w:eastAsia="仿宋_GB2312"/>
          <w:sz w:val="28"/>
          <w:szCs w:val="28"/>
        </w:rPr>
        <w:t>内。</w:t>
      </w:r>
    </w:p>
    <w:p>
      <w:pPr>
        <w:pStyle w:val="91"/>
        <w:spacing w:before="0" w:after="0"/>
        <w:ind w:left="0" w:leftChars="0" w:firstLine="562" w:firstLineChars="200"/>
        <w:rPr>
          <w:rFonts w:eastAsia="仿宋_GB2312"/>
          <w:color w:val="auto"/>
        </w:rPr>
      </w:pPr>
      <w:bookmarkStart w:id="61" w:name="_Toc66743156"/>
      <w:bookmarkStart w:id="62" w:name="_Toc68612205"/>
      <w:r>
        <w:rPr>
          <w:rFonts w:hint="eastAsia" w:eastAsia="仿宋_GB2312"/>
          <w:color w:val="auto"/>
        </w:rPr>
        <w:t>3.2.2湖库型饮用水水源保护区的划分技术规范</w:t>
      </w:r>
      <w:bookmarkEnd w:id="61"/>
      <w:bookmarkEnd w:id="62"/>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参照</w:t>
      </w:r>
      <w:r>
        <w:rPr>
          <w:rFonts w:hint="eastAsia" w:ascii="Times New Roman" w:hAnsi="Times New Roman" w:eastAsia="仿宋_GB2312"/>
          <w:b/>
          <w:bCs/>
          <w:sz w:val="28"/>
          <w:szCs w:val="28"/>
        </w:rPr>
        <w:t>《饮用水水源保护区划分技术规范》</w:t>
      </w:r>
      <w:r>
        <w:rPr>
          <w:rFonts w:hint="eastAsia" w:ascii="Times New Roman" w:hAnsi="Times New Roman" w:eastAsia="仿宋_GB2312"/>
          <w:sz w:val="28"/>
          <w:szCs w:val="28"/>
        </w:rPr>
        <w:t>（HJ/T338-2018），</w:t>
      </w:r>
      <w:r>
        <w:rPr>
          <w:rFonts w:ascii="Times New Roman" w:hAnsi="Times New Roman" w:eastAsia="仿宋_GB2312"/>
          <w:sz w:val="28"/>
          <w:szCs w:val="28"/>
        </w:rPr>
        <w:t>依据湖泊、水库饮用水水源地</w:t>
      </w:r>
      <w:r>
        <w:rPr>
          <w:rFonts w:ascii="Times New Roman" w:hAnsi="Times New Roman" w:eastAsia="仿宋_GB2312"/>
          <w:b/>
          <w:bCs/>
          <w:sz w:val="28"/>
          <w:szCs w:val="28"/>
        </w:rPr>
        <w:t>所在</w:t>
      </w:r>
      <w:r>
        <w:rPr>
          <w:rFonts w:ascii="Times New Roman" w:hAnsi="Times New Roman" w:eastAsia="仿宋_GB2312"/>
          <w:sz w:val="28"/>
          <w:szCs w:val="28"/>
        </w:rPr>
        <w:t>水库规模的大小，将湖泊、水库饮用水水源地进行分类，分类结果见下表。</w:t>
      </w:r>
    </w:p>
    <w:p>
      <w:pPr>
        <w:spacing w:line="580" w:lineRule="exact"/>
        <w:ind w:firstLine="560"/>
        <w:rPr>
          <w:rFonts w:ascii="Times New Roman" w:hAnsi="Times New Roman" w:eastAsia="仿宋_GB2312"/>
          <w:sz w:val="28"/>
          <w:szCs w:val="28"/>
        </w:rPr>
      </w:pPr>
    </w:p>
    <w:p>
      <w:pPr>
        <w:spacing w:line="580" w:lineRule="exact"/>
        <w:ind w:firstLine="560"/>
        <w:rPr>
          <w:rFonts w:ascii="Times New Roman" w:hAnsi="Times New Roman" w:eastAsia="仿宋_GB2312"/>
          <w:sz w:val="28"/>
          <w:szCs w:val="28"/>
        </w:rPr>
      </w:pPr>
    </w:p>
    <w:p>
      <w:pPr>
        <w:ind w:firstLine="482"/>
        <w:jc w:val="center"/>
        <w:rPr>
          <w:rFonts w:ascii="Times New Roman" w:hAnsi="Times New Roman" w:eastAsia="仿宋_GB2312"/>
          <w:b/>
          <w:bCs/>
        </w:rPr>
      </w:pPr>
      <w:r>
        <w:rPr>
          <w:rFonts w:ascii="Times New Roman" w:hAnsi="Times New Roman" w:eastAsia="仿宋_GB2312"/>
          <w:b/>
          <w:bCs/>
        </w:rPr>
        <w:t>表3.</w:t>
      </w:r>
      <w:r>
        <w:rPr>
          <w:rFonts w:hint="eastAsia" w:ascii="Times New Roman" w:hAnsi="Times New Roman" w:eastAsia="仿宋_GB2312"/>
          <w:b/>
          <w:bCs/>
        </w:rPr>
        <w:t>2.2</w:t>
      </w:r>
      <w:r>
        <w:rPr>
          <w:rFonts w:ascii="Times New Roman" w:hAnsi="Times New Roman" w:eastAsia="仿宋_GB2312"/>
          <w:b/>
          <w:bCs/>
        </w:rPr>
        <w:t xml:space="preserve">-1 </w:t>
      </w:r>
      <w:r>
        <w:rPr>
          <w:rFonts w:ascii="Times New Roman" w:hAnsi="Times New Roman" w:eastAsia="仿宋_GB2312"/>
          <w:b/>
        </w:rPr>
        <w:t>水库型饮用水水源地分类表（引：HJ/338-2018表2）</w:t>
      </w:r>
    </w:p>
    <w:tbl>
      <w:tblPr>
        <w:tblStyle w:val="3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301"/>
        <w:gridCol w:w="951"/>
        <w:gridCol w:w="3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0" w:type="dxa"/>
            <w:gridSpan w:val="2"/>
            <w:shd w:val="clear" w:color="auto" w:fill="auto"/>
            <w:vAlign w:val="center"/>
          </w:tcPr>
          <w:p>
            <w:pPr>
              <w:spacing w:line="360" w:lineRule="auto"/>
              <w:ind w:firstLine="175" w:firstLineChars="83"/>
              <w:contextualSpacing/>
              <w:jc w:val="center"/>
              <w:rPr>
                <w:rFonts w:ascii="Times New Roman" w:hAnsi="Times New Roman" w:eastAsia="仿宋_GB2312"/>
                <w:b/>
                <w:bCs/>
                <w:kern w:val="0"/>
                <w:sz w:val="21"/>
                <w:szCs w:val="21"/>
              </w:rPr>
            </w:pPr>
            <w:r>
              <w:rPr>
                <w:rFonts w:ascii="Times New Roman" w:hAnsi="Times New Roman" w:eastAsia="仿宋_GB2312"/>
                <w:b/>
                <w:bCs/>
                <w:kern w:val="0"/>
                <w:sz w:val="21"/>
                <w:szCs w:val="21"/>
              </w:rPr>
              <w:t>水源地类型</w:t>
            </w:r>
          </w:p>
        </w:tc>
        <w:tc>
          <w:tcPr>
            <w:tcW w:w="4262" w:type="dxa"/>
            <w:gridSpan w:val="2"/>
            <w:shd w:val="clear" w:color="auto" w:fill="auto"/>
            <w:vAlign w:val="center"/>
          </w:tcPr>
          <w:p>
            <w:pPr>
              <w:spacing w:line="360" w:lineRule="auto"/>
              <w:ind w:firstLine="422"/>
              <w:contextualSpacing/>
              <w:jc w:val="center"/>
              <w:rPr>
                <w:rFonts w:ascii="Times New Roman" w:hAnsi="Times New Roman" w:eastAsia="仿宋_GB2312"/>
                <w:b/>
                <w:bCs/>
                <w:kern w:val="0"/>
                <w:sz w:val="21"/>
                <w:szCs w:val="21"/>
              </w:rPr>
            </w:pPr>
            <w:r>
              <w:rPr>
                <w:rFonts w:ascii="Times New Roman" w:hAnsi="Times New Roman" w:eastAsia="仿宋_GB2312"/>
                <w:b/>
                <w:bCs/>
                <w:kern w:val="0"/>
                <w:sz w:val="21"/>
                <w:szCs w:val="21"/>
              </w:rPr>
              <w:t>水源地类型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水库</w:t>
            </w:r>
          </w:p>
        </w:tc>
        <w:tc>
          <w:tcPr>
            <w:tcW w:w="3301" w:type="dxa"/>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小型，V＜0.1亿m</w:t>
            </w:r>
            <w:r>
              <w:rPr>
                <w:rFonts w:ascii="Times New Roman" w:hAnsi="Times New Roman" w:eastAsia="仿宋_GB2312"/>
                <w:kern w:val="0"/>
                <w:sz w:val="21"/>
                <w:szCs w:val="21"/>
                <w:vertAlign w:val="superscript"/>
              </w:rPr>
              <w:t>3</w:t>
            </w:r>
          </w:p>
        </w:tc>
        <w:tc>
          <w:tcPr>
            <w:tcW w:w="951" w:type="dxa"/>
            <w:vMerge w:val="restart"/>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湖泊</w:t>
            </w:r>
          </w:p>
        </w:tc>
        <w:tc>
          <w:tcPr>
            <w:tcW w:w="3311" w:type="dxa"/>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小型，S＜100km</w:t>
            </w:r>
            <w:r>
              <w:rPr>
                <w:rFonts w:ascii="Times New Roman" w:hAnsi="Times New Roman" w:eastAsia="仿宋_GB2312"/>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p>
        </w:tc>
        <w:tc>
          <w:tcPr>
            <w:tcW w:w="3301" w:type="dxa"/>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中型，0.1亿m</w:t>
            </w:r>
            <w:r>
              <w:rPr>
                <w:rFonts w:ascii="Times New Roman" w:hAnsi="Times New Roman" w:eastAsia="仿宋_GB2312"/>
                <w:kern w:val="0"/>
                <w:sz w:val="21"/>
                <w:szCs w:val="21"/>
                <w:vertAlign w:val="superscript"/>
              </w:rPr>
              <w:t>3</w:t>
            </w:r>
            <w:r>
              <w:rPr>
                <w:rFonts w:ascii="Times New Roman" w:hAnsi="Times New Roman" w:eastAsia="仿宋_GB2312"/>
                <w:kern w:val="0"/>
                <w:sz w:val="21"/>
                <w:szCs w:val="21"/>
              </w:rPr>
              <w:t>≤V＜1亿m</w:t>
            </w:r>
            <w:r>
              <w:rPr>
                <w:rFonts w:ascii="Times New Roman" w:hAnsi="Times New Roman" w:eastAsia="仿宋_GB2312"/>
                <w:kern w:val="0"/>
                <w:sz w:val="21"/>
                <w:szCs w:val="21"/>
                <w:vertAlign w:val="superscript"/>
              </w:rPr>
              <w:t>3</w:t>
            </w:r>
          </w:p>
        </w:tc>
        <w:tc>
          <w:tcPr>
            <w:tcW w:w="951" w:type="dxa"/>
            <w:vMerge w:val="continue"/>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p>
        </w:tc>
        <w:tc>
          <w:tcPr>
            <w:tcW w:w="3311" w:type="dxa"/>
            <w:vMerge w:val="restart"/>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中大型，S≥100km</w:t>
            </w:r>
            <w:r>
              <w:rPr>
                <w:rFonts w:ascii="Times New Roman" w:hAnsi="Times New Roman" w:eastAsia="仿宋_GB2312"/>
                <w:kern w:val="0"/>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p>
        </w:tc>
        <w:tc>
          <w:tcPr>
            <w:tcW w:w="3301" w:type="dxa"/>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r>
              <w:rPr>
                <w:rFonts w:ascii="Times New Roman" w:hAnsi="Times New Roman" w:eastAsia="仿宋_GB2312"/>
                <w:kern w:val="0"/>
                <w:sz w:val="21"/>
                <w:szCs w:val="21"/>
              </w:rPr>
              <w:t>大型，V≥1亿m</w:t>
            </w:r>
            <w:r>
              <w:rPr>
                <w:rFonts w:ascii="Times New Roman" w:hAnsi="Times New Roman" w:eastAsia="仿宋_GB2312"/>
                <w:kern w:val="0"/>
                <w:sz w:val="21"/>
                <w:szCs w:val="21"/>
                <w:vertAlign w:val="superscript"/>
              </w:rPr>
              <w:t>3</w:t>
            </w:r>
          </w:p>
        </w:tc>
        <w:tc>
          <w:tcPr>
            <w:tcW w:w="951" w:type="dxa"/>
            <w:vMerge w:val="continue"/>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p>
        </w:tc>
        <w:tc>
          <w:tcPr>
            <w:tcW w:w="3311" w:type="dxa"/>
            <w:vMerge w:val="continue"/>
            <w:shd w:val="clear" w:color="auto" w:fill="auto"/>
            <w:vAlign w:val="center"/>
          </w:tcPr>
          <w:p>
            <w:pPr>
              <w:spacing w:line="360" w:lineRule="auto"/>
              <w:ind w:firstLine="420"/>
              <w:contextualSpacing/>
              <w:jc w:val="center"/>
              <w:rPr>
                <w:rFonts w:ascii="Times New Roman" w:hAnsi="Times New Roman" w:eastAsia="仿宋_GB2312"/>
                <w:kern w:val="0"/>
                <w:sz w:val="21"/>
                <w:szCs w:val="21"/>
              </w:rPr>
            </w:pPr>
          </w:p>
        </w:tc>
      </w:tr>
    </w:tbl>
    <w:p>
      <w:pPr>
        <w:spacing w:line="240" w:lineRule="auto"/>
        <w:ind w:firstLine="482"/>
        <w:rPr>
          <w:rFonts w:ascii="Times New Roman" w:hAnsi="Times New Roman" w:eastAsia="仿宋_GB2312"/>
          <w:b/>
          <w:bCs/>
        </w:rPr>
      </w:pPr>
      <w:r>
        <w:rPr>
          <w:rFonts w:hint="eastAsia" w:ascii="Times New Roman" w:hAnsi="Times New Roman" w:eastAsia="仿宋_GB2312"/>
          <w:b/>
          <w:bCs/>
        </w:rPr>
        <w:t>注：</w:t>
      </w:r>
      <w:r>
        <w:rPr>
          <w:rFonts w:ascii="Times New Roman" w:hAnsi="Times New Roman" w:eastAsia="仿宋_GB2312"/>
          <w:b/>
          <w:bCs/>
        </w:rPr>
        <w:t>V</w:t>
      </w:r>
      <w:r>
        <w:rPr>
          <w:rFonts w:hint="eastAsia" w:ascii="Times New Roman" w:hAnsi="Times New Roman" w:eastAsia="仿宋_GB2312"/>
          <w:b/>
          <w:bCs/>
        </w:rPr>
        <w:t>为水库总</w:t>
      </w:r>
      <w:r>
        <w:rPr>
          <w:rFonts w:hint="eastAsia" w:ascii="Times New Roman" w:hAnsi="Times New Roman" w:eastAsia="仿宋_GB2312"/>
          <w:b/>
          <w:bCs/>
          <w:snapToGrid w:val="0"/>
          <w:kern w:val="0"/>
          <w:sz w:val="28"/>
          <w:szCs w:val="28"/>
        </w:rPr>
        <w:t>库容</w:t>
      </w:r>
      <w:r>
        <w:rPr>
          <w:rFonts w:hint="eastAsia" w:ascii="Times New Roman" w:hAnsi="Times New Roman" w:eastAsia="仿宋_GB2312"/>
          <w:b/>
          <w:bCs/>
        </w:rPr>
        <w:t>；</w:t>
      </w:r>
      <w:r>
        <w:rPr>
          <w:rFonts w:ascii="Times New Roman" w:hAnsi="Times New Roman" w:eastAsia="仿宋_GB2312"/>
          <w:b/>
          <w:bCs/>
        </w:rPr>
        <w:t>S</w:t>
      </w:r>
      <w:r>
        <w:rPr>
          <w:rFonts w:hint="eastAsia" w:ascii="Times New Roman" w:hAnsi="Times New Roman" w:eastAsia="仿宋_GB2312"/>
          <w:b/>
          <w:bCs/>
        </w:rPr>
        <w:t>为湖泊水面面积</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1、一级</w:t>
      </w:r>
      <w:r>
        <w:rPr>
          <w:rFonts w:ascii="Times New Roman" w:hAnsi="Times New Roman" w:eastAsia="仿宋_GB2312"/>
          <w:snapToGrid w:val="0"/>
          <w:kern w:val="0"/>
          <w:sz w:val="28"/>
          <w:szCs w:val="28"/>
        </w:rPr>
        <w:t>保护区</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（1）水域范围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小型水库和单一供水功能的湖泊、水库应将正常水位线以下的全部水域面积划为一级保护区。小型湖泊、中型水库水域范围为取水口半径300m范围内的区域。大中型湖泊、大型水库为取水口半径500m范围内的区域。</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（2）陆域</w:t>
      </w:r>
      <w:r>
        <w:rPr>
          <w:rFonts w:ascii="Times New Roman" w:hAnsi="Times New Roman" w:eastAsia="仿宋_GB2312"/>
          <w:snapToGrid w:val="0"/>
          <w:kern w:val="0"/>
          <w:sz w:val="28"/>
          <w:szCs w:val="28"/>
        </w:rPr>
        <w:t>范围</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小型湖泊和单一供水功能的湖泊、水库以及中小型水库为一级保护区水域外不小于200m范围内的陆域，或一定高程线以下的陆域，但不超过流域分水岭范围。大中型湖泊、大型水库为一级保护区水域外不小于200m范围内的陆域，但不超过流域分水岭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2、二级</w:t>
      </w:r>
      <w:r>
        <w:rPr>
          <w:rFonts w:ascii="Times New Roman" w:hAnsi="Times New Roman" w:eastAsia="仿宋_GB2312"/>
          <w:snapToGrid w:val="0"/>
          <w:kern w:val="0"/>
          <w:sz w:val="28"/>
          <w:szCs w:val="28"/>
        </w:rPr>
        <w:t>保护区</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（1）水域范围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小型湖泊、中小型水库一级保护区边界外的水域面积设定为二级保护区。大中型湖泊、大型</w:t>
      </w:r>
      <w:r>
        <w:rPr>
          <w:rFonts w:ascii="Times New Roman" w:hAnsi="Times New Roman" w:eastAsia="仿宋_GB2312"/>
          <w:snapToGrid w:val="0"/>
          <w:kern w:val="0"/>
          <w:sz w:val="28"/>
          <w:szCs w:val="28"/>
        </w:rPr>
        <w:t>水库</w:t>
      </w:r>
      <w:r>
        <w:rPr>
          <w:rFonts w:ascii="Times New Roman" w:hAnsi="Times New Roman" w:eastAsia="仿宋_GB2312"/>
          <w:sz w:val="28"/>
          <w:szCs w:val="28"/>
        </w:rPr>
        <w:t>以一级保护区外径向距离不小于2000m区域为二级保护区水域面积，但不超过水面范围。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（2）陆域范围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小型水库可将上游整个流域（一级保护区陆域外区域）设定为二级保护区。小型湖泊和平原型中型水库的二级保护区范围是正常水位线以上（一级保护区以外），水平距离2000m区域，山区型中型水库二级保护区的范围为水库周边山脊线以内（一级保护区以外）及入库河流上溯3000m的汇水区域。</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大中型湖泊、大型水库可以划定一级保护区外不小于3000m的区域为二级</w:t>
      </w:r>
      <w:r>
        <w:rPr>
          <w:rFonts w:ascii="Times New Roman" w:hAnsi="Times New Roman" w:eastAsia="仿宋_GB2312"/>
          <w:snapToGrid w:val="0"/>
          <w:kern w:val="0"/>
          <w:sz w:val="28"/>
          <w:szCs w:val="28"/>
        </w:rPr>
        <w:t>保护区</w:t>
      </w:r>
      <w:r>
        <w:rPr>
          <w:rFonts w:ascii="Times New Roman" w:hAnsi="Times New Roman" w:eastAsia="仿宋_GB2312"/>
          <w:sz w:val="28"/>
          <w:szCs w:val="28"/>
        </w:rPr>
        <w:t>范围。</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3、准</w:t>
      </w:r>
      <w:r>
        <w:rPr>
          <w:rFonts w:ascii="Times New Roman" w:hAnsi="Times New Roman" w:eastAsia="仿宋_GB2312"/>
          <w:snapToGrid w:val="0"/>
          <w:kern w:val="0"/>
          <w:sz w:val="28"/>
          <w:szCs w:val="28"/>
        </w:rPr>
        <w:t>保护区</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按照湖库流域范围、污染源分布及对饮用水水源水质的影响程度，二级保护区以外的汇水区域可以设定为准保护区。</w:t>
      </w:r>
    </w:p>
    <w:p>
      <w:pPr>
        <w:pStyle w:val="91"/>
        <w:spacing w:before="0" w:after="0"/>
        <w:ind w:left="0" w:leftChars="0" w:firstLine="562" w:firstLineChars="200"/>
        <w:rPr>
          <w:rFonts w:eastAsia="仿宋_GB2312"/>
          <w:color w:val="auto"/>
        </w:rPr>
      </w:pPr>
      <w:bookmarkStart w:id="63" w:name="_Toc68612206"/>
      <w:r>
        <w:rPr>
          <w:rFonts w:hint="eastAsia" w:eastAsia="仿宋_GB2312"/>
          <w:color w:val="auto"/>
        </w:rPr>
        <w:t>3</w:t>
      </w:r>
      <w:r>
        <w:rPr>
          <w:rFonts w:eastAsia="仿宋_GB2312"/>
          <w:color w:val="auto"/>
        </w:rPr>
        <w:t>.2.3</w:t>
      </w:r>
      <w:r>
        <w:rPr>
          <w:rFonts w:hint="eastAsia" w:eastAsia="仿宋_GB2312"/>
          <w:color w:val="auto"/>
        </w:rPr>
        <w:t>本次划分情况</w:t>
      </w:r>
      <w:bookmarkEnd w:id="63"/>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本次划定的5个乡镇饮用水水源保护区，均属于供水人口在10000人或日供水在1000吨以上（“千吨万人”）的乡镇级饮用水水源地，供水水源为水库及其上游河道</w:t>
      </w:r>
      <w:r>
        <w:rPr>
          <w:rFonts w:hint="eastAsia" w:ascii="Times New Roman" w:hAnsi="Times New Roman" w:eastAsia="仿宋_GB2312"/>
          <w:snapToGrid w:val="0"/>
          <w:kern w:val="0"/>
          <w:sz w:val="28"/>
          <w:szCs w:val="28"/>
        </w:rPr>
        <w:t>以及</w:t>
      </w:r>
      <w:r>
        <w:rPr>
          <w:rFonts w:ascii="Times New Roman" w:hAnsi="Times New Roman" w:eastAsia="仿宋_GB2312"/>
          <w:snapToGrid w:val="0"/>
          <w:kern w:val="0"/>
          <w:sz w:val="28"/>
          <w:szCs w:val="28"/>
        </w:rPr>
        <w:t>中</w:t>
      </w:r>
      <w:r>
        <w:rPr>
          <w:rFonts w:hint="eastAsia" w:ascii="Times New Roman" w:hAnsi="Times New Roman" w:eastAsia="仿宋_GB2312"/>
          <w:snapToGrid w:val="0"/>
          <w:kern w:val="0"/>
          <w:sz w:val="28"/>
          <w:szCs w:val="28"/>
        </w:rPr>
        <w:t>小</w:t>
      </w:r>
      <w:r>
        <w:rPr>
          <w:rFonts w:ascii="Times New Roman" w:hAnsi="Times New Roman" w:eastAsia="仿宋_GB2312"/>
          <w:snapToGrid w:val="0"/>
          <w:kern w:val="0"/>
          <w:sz w:val="28"/>
          <w:szCs w:val="28"/>
        </w:rPr>
        <w:t>型水库。</w:t>
      </w:r>
    </w:p>
    <w:p>
      <w:pPr>
        <w:pStyle w:val="98"/>
        <w:spacing w:before="0" w:beforeLines="0" w:after="0" w:afterLines="0"/>
        <w:rPr>
          <w:rFonts w:ascii="Times New Roman" w:eastAsia="仿宋_GB2312"/>
          <w:sz w:val="24"/>
          <w:szCs w:val="24"/>
        </w:rPr>
      </w:pPr>
    </w:p>
    <w:p>
      <w:pPr>
        <w:pStyle w:val="98"/>
        <w:spacing w:before="0" w:beforeLines="0" w:after="0" w:afterLines="0"/>
        <w:rPr>
          <w:rFonts w:ascii="Times New Roman" w:eastAsia="仿宋_GB2312"/>
          <w:sz w:val="24"/>
          <w:szCs w:val="24"/>
        </w:rPr>
      </w:pPr>
      <w:r>
        <w:rPr>
          <w:rFonts w:ascii="Times New Roman" w:eastAsia="仿宋_GB2312"/>
          <w:sz w:val="24"/>
          <w:szCs w:val="24"/>
        </w:rPr>
        <w:t>表3.2-1 临安区“千吨万人”饮用水水源地清单</w:t>
      </w:r>
    </w:p>
    <w:tbl>
      <w:tblPr>
        <w:tblStyle w:val="30"/>
        <w:tblW w:w="8215" w:type="dxa"/>
        <w:tblInd w:w="0" w:type="dxa"/>
        <w:tblLayout w:type="autofit"/>
        <w:tblCellMar>
          <w:top w:w="0" w:type="dxa"/>
          <w:left w:w="108" w:type="dxa"/>
          <w:bottom w:w="0" w:type="dxa"/>
          <w:right w:w="108" w:type="dxa"/>
        </w:tblCellMar>
      </w:tblPr>
      <w:tblGrid>
        <w:gridCol w:w="704"/>
        <w:gridCol w:w="1985"/>
        <w:gridCol w:w="1418"/>
        <w:gridCol w:w="1558"/>
        <w:gridCol w:w="1560"/>
        <w:gridCol w:w="990"/>
      </w:tblGrid>
      <w:tr>
        <w:tblPrEx>
          <w:tblCellMar>
            <w:top w:w="0" w:type="dxa"/>
            <w:left w:w="108" w:type="dxa"/>
            <w:bottom w:w="0" w:type="dxa"/>
            <w:right w:w="108" w:type="dxa"/>
          </w:tblCellMar>
        </w:tblPrEx>
        <w:trPr>
          <w:trHeight w:val="744" w:hRule="atLeast"/>
          <w:tblHeader/>
        </w:trPr>
        <w:tc>
          <w:tcPr>
            <w:tcW w:w="70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序号</w:t>
            </w:r>
          </w:p>
        </w:tc>
        <w:tc>
          <w:tcPr>
            <w:tcW w:w="1985"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水源地名称</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库容</w:t>
            </w:r>
          </w:p>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（万m</w:t>
            </w:r>
            <w:r>
              <w:rPr>
                <w:rFonts w:ascii="Times New Roman" w:hAnsi="Times New Roman" w:eastAsia="仿宋_GB2312"/>
                <w:b/>
                <w:bCs/>
                <w:color w:val="000000"/>
                <w:kern w:val="0"/>
                <w:vertAlign w:val="superscript"/>
              </w:rPr>
              <w:t>3</w:t>
            </w:r>
            <w:r>
              <w:rPr>
                <w:rFonts w:ascii="Times New Roman" w:hAnsi="Times New Roman" w:eastAsia="仿宋_GB2312"/>
                <w:b/>
                <w:bCs/>
                <w:color w:val="000000"/>
                <w:kern w:val="0"/>
              </w:rPr>
              <w:t>）</w:t>
            </w:r>
          </w:p>
        </w:tc>
        <w:tc>
          <w:tcPr>
            <w:tcW w:w="1558"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水源地类型</w:t>
            </w:r>
          </w:p>
        </w:tc>
        <w:tc>
          <w:tcPr>
            <w:tcW w:w="156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日供水规模（万吨）</w:t>
            </w:r>
          </w:p>
        </w:tc>
        <w:tc>
          <w:tcPr>
            <w:tcW w:w="99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rPr>
            </w:pPr>
            <w:r>
              <w:rPr>
                <w:rFonts w:ascii="Times New Roman" w:hAnsi="Times New Roman" w:eastAsia="仿宋_GB2312"/>
                <w:b/>
                <w:bCs/>
                <w:color w:val="000000"/>
                <w:kern w:val="0"/>
              </w:rPr>
              <w:t>服务人口（人）</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1</w:t>
            </w:r>
          </w:p>
        </w:tc>
        <w:tc>
          <w:tcPr>
            <w:tcW w:w="198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华光潭一级水库</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8257</w:t>
            </w:r>
          </w:p>
        </w:tc>
        <w:tc>
          <w:tcPr>
            <w:tcW w:w="15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hint="eastAsia" w:ascii="Times New Roman" w:hAnsi="Times New Roman" w:eastAsia="仿宋_GB2312"/>
                <w:color w:val="000000"/>
                <w:kern w:val="0"/>
              </w:rPr>
              <w:t>河道型</w:t>
            </w:r>
            <w:r>
              <w:rPr>
                <w:rFonts w:ascii="Times New Roman" w:hAnsi="Times New Roman" w:eastAsia="仿宋_GB2312"/>
                <w:color w:val="000000"/>
                <w:kern w:val="0"/>
              </w:rPr>
              <w:t>水库</w:t>
            </w:r>
            <w:r>
              <w:rPr>
                <w:rFonts w:hint="eastAsia" w:ascii="Times New Roman" w:hAnsi="Times New Roman" w:eastAsia="仿宋_GB2312"/>
                <w:color w:val="000000"/>
                <w:kern w:val="0"/>
              </w:rPr>
              <w:t>/中型水库</w:t>
            </w:r>
          </w:p>
        </w:tc>
        <w:tc>
          <w:tcPr>
            <w:tcW w:w="156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0.8</w:t>
            </w:r>
          </w:p>
        </w:tc>
        <w:tc>
          <w:tcPr>
            <w:tcW w:w="99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21625</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2</w:t>
            </w:r>
          </w:p>
        </w:tc>
        <w:tc>
          <w:tcPr>
            <w:tcW w:w="198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居仁水库</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62</w:t>
            </w:r>
          </w:p>
        </w:tc>
        <w:tc>
          <w:tcPr>
            <w:tcW w:w="15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小型水库</w:t>
            </w:r>
          </w:p>
        </w:tc>
        <w:tc>
          <w:tcPr>
            <w:tcW w:w="156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0.2</w:t>
            </w:r>
          </w:p>
        </w:tc>
        <w:tc>
          <w:tcPr>
            <w:tcW w:w="99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6713</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3</w:t>
            </w:r>
          </w:p>
        </w:tc>
        <w:tc>
          <w:tcPr>
            <w:tcW w:w="198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江岭水库</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106</w:t>
            </w:r>
          </w:p>
        </w:tc>
        <w:tc>
          <w:tcPr>
            <w:tcW w:w="15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小型水库</w:t>
            </w:r>
          </w:p>
        </w:tc>
        <w:tc>
          <w:tcPr>
            <w:tcW w:w="156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0.2</w:t>
            </w:r>
          </w:p>
        </w:tc>
        <w:tc>
          <w:tcPr>
            <w:tcW w:w="99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8091</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4</w:t>
            </w:r>
          </w:p>
        </w:tc>
        <w:tc>
          <w:tcPr>
            <w:tcW w:w="198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喷洞水库</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15</w:t>
            </w:r>
          </w:p>
        </w:tc>
        <w:tc>
          <w:tcPr>
            <w:tcW w:w="15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小型水库</w:t>
            </w:r>
          </w:p>
        </w:tc>
        <w:tc>
          <w:tcPr>
            <w:tcW w:w="156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0.2</w:t>
            </w:r>
          </w:p>
        </w:tc>
        <w:tc>
          <w:tcPr>
            <w:tcW w:w="99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9060</w:t>
            </w:r>
          </w:p>
        </w:tc>
      </w:tr>
      <w:tr>
        <w:tblPrEx>
          <w:tblCellMar>
            <w:top w:w="0" w:type="dxa"/>
            <w:left w:w="108" w:type="dxa"/>
            <w:bottom w:w="0" w:type="dxa"/>
            <w:right w:w="108" w:type="dxa"/>
          </w:tblCellMar>
        </w:tblPrEx>
        <w:trPr>
          <w:trHeight w:val="402"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5</w:t>
            </w:r>
          </w:p>
        </w:tc>
        <w:tc>
          <w:tcPr>
            <w:tcW w:w="1985"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夏村水库</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51.4</w:t>
            </w:r>
          </w:p>
        </w:tc>
        <w:tc>
          <w:tcPr>
            <w:tcW w:w="15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小型水库</w:t>
            </w:r>
          </w:p>
        </w:tc>
        <w:tc>
          <w:tcPr>
            <w:tcW w:w="156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0.135</w:t>
            </w:r>
          </w:p>
        </w:tc>
        <w:tc>
          <w:tcPr>
            <w:tcW w:w="990"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color w:val="000000"/>
                <w:kern w:val="0"/>
              </w:rPr>
            </w:pPr>
            <w:r>
              <w:rPr>
                <w:rFonts w:ascii="Times New Roman" w:hAnsi="Times New Roman" w:eastAsia="仿宋_GB2312"/>
                <w:color w:val="000000"/>
                <w:kern w:val="0"/>
              </w:rPr>
              <w:t>7319</w:t>
            </w:r>
          </w:p>
        </w:tc>
      </w:tr>
    </w:tbl>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依据《关于进一步加强我省集中式饮用水水源地生态环境保护工作的通知》（浙环函〔2020〕89号）要求，“千吨万人”饮用水水源地保护区划定工作应满足如下技术规范：</w:t>
      </w:r>
    </w:p>
    <w:p>
      <w:pPr>
        <w:spacing w:line="580" w:lineRule="exact"/>
        <w:ind w:firstLine="562"/>
        <w:rPr>
          <w:rFonts w:ascii="Times New Roman" w:hAnsi="Times New Roman" w:eastAsia="仿宋_GB2312"/>
          <w:b/>
          <w:bCs/>
          <w:snapToGrid w:val="0"/>
          <w:kern w:val="0"/>
          <w:sz w:val="28"/>
          <w:szCs w:val="28"/>
        </w:rPr>
      </w:pPr>
      <w:r>
        <w:rPr>
          <w:rFonts w:ascii="Times New Roman" w:hAnsi="Times New Roman" w:eastAsia="仿宋_GB2312"/>
          <w:b/>
          <w:bCs/>
          <w:snapToGrid w:val="0"/>
          <w:kern w:val="0"/>
          <w:sz w:val="28"/>
          <w:szCs w:val="28"/>
        </w:rPr>
        <w:t>1、“千吨万人”饮用水水源地划定方法如下：</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日供水规模1000吨或服务人口10000人以上农村饮用水水源保护区一般划定为一级保护区和二级保护区，必要时可增设准保护区，各地在保障水源地水质安全的前提下，结合当地实际，因地制宜合理确定农村饮用水水源保护区。已经纳入《浙江省水功能区水环境功能区划定方案》（2015版）或经省政府批复的饮用水水源保护区，原则上不再重新划定，但需进一步完善保护区矢量数据。</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保护区划定具体参照《饮用水水源保护区划分技术规范》（HJ/T338-2018）和《关于推进乡镇及以下集中式饮用水水源地生态环境保护工作的指导意见》（环水体函〔2019〕92号)。河流型、地下水型水源保护区划定首先参照《饮用水水源保护区划分技术规范》（HJ/T338-2018），在划定条件不允许的情况下，河流型水源保护区，以取水口为中心，上游不小于1000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，下游不小于100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（若潮汐性河流为1000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），陆域纵深不小于50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，但不超过集雨范围。</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地下水型水源保护区，以取水口为中心，径向距离不小于30</w:t>
      </w:r>
      <w:r>
        <w:rPr>
          <w:rFonts w:hint="eastAsia" w:ascii="Times New Roman" w:hAnsi="Times New Roman" w:eastAsia="仿宋_GB2312"/>
          <w:snapToGrid w:val="0"/>
          <w:kern w:val="0"/>
          <w:sz w:val="28"/>
          <w:szCs w:val="28"/>
        </w:rPr>
        <w:t>m</w:t>
      </w:r>
      <w:r>
        <w:rPr>
          <w:rFonts w:ascii="Times New Roman" w:hAnsi="Times New Roman" w:eastAsia="仿宋_GB2312"/>
          <w:snapToGrid w:val="0"/>
          <w:kern w:val="0"/>
          <w:sz w:val="28"/>
          <w:szCs w:val="28"/>
        </w:rPr>
        <w:t>；划定需充分说明理由，并合理区分一级、二级保护区。湖库型及其他特殊类型水源保护区划定参照《饮用水水源保护区划分技术规范》（HJ/T338-2018）。</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2、本次划定的5个饮用水水源保护区，</w:t>
      </w:r>
      <w:r>
        <w:rPr>
          <w:rFonts w:hint="eastAsia" w:ascii="Times New Roman" w:hAnsi="Times New Roman" w:eastAsia="仿宋_GB2312"/>
          <w:snapToGrid w:val="0"/>
          <w:kern w:val="0"/>
          <w:sz w:val="28"/>
          <w:szCs w:val="28"/>
        </w:rPr>
        <w:t>主要</w:t>
      </w:r>
      <w:r>
        <w:rPr>
          <w:rFonts w:ascii="Times New Roman" w:hAnsi="Times New Roman" w:eastAsia="仿宋_GB2312"/>
          <w:snapToGrid w:val="0"/>
          <w:kern w:val="0"/>
          <w:sz w:val="28"/>
          <w:szCs w:val="28"/>
        </w:rPr>
        <w:t>采用《饮用水水源保护区划分技术规范》（HJ/T338-2018）中类比经验法</w:t>
      </w:r>
      <w:r>
        <w:rPr>
          <w:rFonts w:hint="eastAsia" w:ascii="Times New Roman" w:hAnsi="Times New Roman" w:eastAsia="仿宋_GB2312"/>
          <w:snapToGrid w:val="0"/>
          <w:kern w:val="0"/>
          <w:sz w:val="28"/>
          <w:szCs w:val="28"/>
        </w:rPr>
        <w:t>。</w:t>
      </w:r>
    </w:p>
    <w:p>
      <w:pPr>
        <w:spacing w:line="580" w:lineRule="exact"/>
        <w:ind w:firstLine="562"/>
        <w:rPr>
          <w:rFonts w:ascii="Times New Roman" w:hAnsi="Times New Roman" w:eastAsia="仿宋_GB2312"/>
          <w:b/>
          <w:bCs/>
          <w:snapToGrid w:val="0"/>
          <w:kern w:val="0"/>
          <w:sz w:val="28"/>
          <w:szCs w:val="28"/>
        </w:rPr>
      </w:pPr>
      <w:r>
        <w:rPr>
          <w:rFonts w:ascii="Times New Roman" w:hAnsi="Times New Roman" w:eastAsia="仿宋_GB2312"/>
          <w:b/>
          <w:bCs/>
          <w:snapToGrid w:val="0"/>
          <w:kern w:val="0"/>
          <w:sz w:val="28"/>
          <w:szCs w:val="28"/>
        </w:rPr>
        <w:t>（1）</w:t>
      </w:r>
      <w:r>
        <w:rPr>
          <w:rFonts w:hint="eastAsia" w:ascii="Times New Roman" w:hAnsi="Times New Roman" w:eastAsia="仿宋_GB2312"/>
          <w:b/>
          <w:bCs/>
          <w:snapToGrid w:val="0"/>
          <w:kern w:val="0"/>
          <w:sz w:val="28"/>
          <w:szCs w:val="28"/>
        </w:rPr>
        <w:t>华光潭一级水库</w:t>
      </w:r>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华光潭一级水库按照</w:t>
      </w:r>
      <w:r>
        <w:rPr>
          <w:rFonts w:ascii="Times New Roman" w:hAnsi="Times New Roman" w:eastAsia="仿宋_GB2312"/>
          <w:snapToGrid w:val="0"/>
          <w:kern w:val="0"/>
          <w:sz w:val="28"/>
          <w:szCs w:val="28"/>
        </w:rPr>
        <w:t>《饮用水水源保护区划分技术规范》（HJ/T338-2018）</w:t>
      </w:r>
      <w:r>
        <w:rPr>
          <w:rFonts w:hint="eastAsia" w:ascii="Times New Roman" w:hAnsi="Times New Roman" w:eastAsia="仿宋_GB2312"/>
          <w:snapToGrid w:val="0"/>
          <w:kern w:val="0"/>
          <w:sz w:val="28"/>
          <w:szCs w:val="28"/>
        </w:rPr>
        <w:t>属于山区型中型水库，但根据实际，华光潭一级水库库区范围不明显，水库水域范围长度超过1</w:t>
      </w:r>
      <w:r>
        <w:rPr>
          <w:rFonts w:ascii="Times New Roman" w:hAnsi="Times New Roman" w:eastAsia="仿宋_GB2312"/>
          <w:snapToGrid w:val="0"/>
          <w:kern w:val="0"/>
          <w:sz w:val="28"/>
          <w:szCs w:val="28"/>
        </w:rPr>
        <w:t>0km</w:t>
      </w:r>
      <w:r>
        <w:rPr>
          <w:rFonts w:hint="eastAsia" w:ascii="Times New Roman" w:hAnsi="Times New Roman" w:eastAsia="仿宋_GB2312"/>
          <w:snapToGrid w:val="0"/>
          <w:kern w:val="0"/>
          <w:sz w:val="28"/>
          <w:szCs w:val="28"/>
        </w:rPr>
        <w:t>，大坝区正常水位线水域宽度超过1</w:t>
      </w:r>
      <w:r>
        <w:rPr>
          <w:rFonts w:ascii="Times New Roman" w:hAnsi="Times New Roman" w:eastAsia="仿宋_GB2312"/>
          <w:snapToGrid w:val="0"/>
          <w:kern w:val="0"/>
          <w:sz w:val="28"/>
          <w:szCs w:val="28"/>
        </w:rPr>
        <w:t>00m</w:t>
      </w:r>
      <w:r>
        <w:rPr>
          <w:rFonts w:hint="eastAsia" w:ascii="Times New Roman" w:hAnsi="Times New Roman" w:eastAsia="仿宋_GB2312"/>
          <w:snapToGrid w:val="0"/>
          <w:kern w:val="0"/>
          <w:sz w:val="28"/>
          <w:szCs w:val="28"/>
        </w:rPr>
        <w:t>，与入库河流水体交汇较多，且华光潭一级水库为华光潭二级水库主要水源之一，设有3孔10×9.5m的泄洪闸，最大下泄流量达2365m</w:t>
      </w:r>
      <w:r>
        <w:rPr>
          <w:rFonts w:hint="eastAsia" w:ascii="Times New Roman" w:hAnsi="Times New Roman" w:eastAsia="仿宋_GB2312"/>
          <w:snapToGrid w:val="0"/>
          <w:kern w:val="0"/>
          <w:sz w:val="28"/>
          <w:szCs w:val="28"/>
          <w:vertAlign w:val="superscript"/>
        </w:rPr>
        <w:t>3</w:t>
      </w:r>
      <w:r>
        <w:rPr>
          <w:rFonts w:hint="eastAsia" w:ascii="Times New Roman" w:hAnsi="Times New Roman" w:eastAsia="仿宋_GB2312"/>
          <w:snapToGrid w:val="0"/>
          <w:kern w:val="0"/>
          <w:sz w:val="28"/>
          <w:szCs w:val="28"/>
        </w:rPr>
        <w:t>/s，水体流动性较好，具有较强的河道特征。为保证华光潭二级水库正常供水能力，结合华光潭一级水库功能特殊性、水库周边及上游河道地形地貌实际，同时参照华光潭二级水库饮用水水源保护区划分情况，华光潭一级水库饮用水水源区划分主要参照</w:t>
      </w:r>
      <w:r>
        <w:rPr>
          <w:rFonts w:ascii="Times New Roman" w:hAnsi="Times New Roman" w:eastAsia="仿宋_GB2312"/>
          <w:snapToGrid w:val="0"/>
          <w:kern w:val="0"/>
          <w:sz w:val="28"/>
          <w:szCs w:val="28"/>
        </w:rPr>
        <w:t>《饮用水水源保护区划分技术规范》（HJ/T338-2018）</w:t>
      </w:r>
      <w:r>
        <w:rPr>
          <w:rFonts w:hint="eastAsia" w:ascii="Times New Roman" w:hAnsi="Times New Roman" w:eastAsia="仿宋_GB2312"/>
          <w:snapToGrid w:val="0"/>
          <w:kern w:val="0"/>
          <w:sz w:val="28"/>
          <w:szCs w:val="28"/>
        </w:rPr>
        <w:t>中河流型饮用水水源区划分方法。</w:t>
      </w:r>
    </w:p>
    <w:p>
      <w:pPr>
        <w:spacing w:line="580" w:lineRule="exact"/>
        <w:ind w:firstLine="562"/>
        <w:rPr>
          <w:rFonts w:ascii="Times New Roman" w:hAnsi="Times New Roman" w:eastAsia="仿宋_GB2312"/>
          <w:b/>
          <w:bCs/>
          <w:snapToGrid w:val="0"/>
          <w:kern w:val="0"/>
          <w:sz w:val="28"/>
          <w:szCs w:val="28"/>
        </w:rPr>
      </w:pPr>
      <w:r>
        <w:rPr>
          <w:rFonts w:ascii="Times New Roman" w:hAnsi="Times New Roman" w:eastAsia="仿宋_GB2312"/>
          <w:b/>
          <w:bCs/>
          <w:snapToGrid w:val="0"/>
          <w:kern w:val="0"/>
          <w:sz w:val="28"/>
          <w:szCs w:val="28"/>
        </w:rPr>
        <w:t>（2）</w:t>
      </w:r>
      <w:r>
        <w:rPr>
          <w:rFonts w:hint="eastAsia" w:ascii="Times New Roman" w:hAnsi="Times New Roman" w:eastAsia="仿宋_GB2312"/>
          <w:b/>
          <w:bCs/>
          <w:snapToGrid w:val="0"/>
          <w:kern w:val="0"/>
          <w:sz w:val="28"/>
          <w:szCs w:val="28"/>
        </w:rPr>
        <w:t>居仁水库、江岭水库、喷洞水库、夏村水库。</w:t>
      </w:r>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根据</w:t>
      </w:r>
      <w:r>
        <w:rPr>
          <w:rFonts w:ascii="Times New Roman" w:hAnsi="Times New Roman" w:eastAsia="仿宋_GB2312"/>
          <w:snapToGrid w:val="0"/>
          <w:kern w:val="0"/>
          <w:sz w:val="28"/>
          <w:szCs w:val="28"/>
        </w:rPr>
        <w:t>《饮用水水源保护区划分技术规范》（HJ/T338-2018）</w:t>
      </w:r>
      <w:r>
        <w:rPr>
          <w:rFonts w:hint="eastAsia" w:ascii="Times New Roman" w:hAnsi="Times New Roman" w:eastAsia="仿宋_GB2312"/>
          <w:snapToGrid w:val="0"/>
          <w:kern w:val="0"/>
          <w:sz w:val="28"/>
          <w:szCs w:val="28"/>
        </w:rPr>
        <w:t>，居仁水库、江岭水库、喷洞水库、夏村水库4个水库均属于小型水库，饮用水水源保护区划分参照小型水库划分方法。其中喷洞水库西侧紧邻安徽省行政边界，本次划分仅对杭州市行政区范围内饮用水水源保护区进行划分，安徽境内保护区不进行划分。</w:t>
      </w:r>
    </w:p>
    <w:p>
      <w:pPr>
        <w:pStyle w:val="3"/>
        <w:spacing w:before="120" w:beforeLines="50" w:afterLines="50" w:line="580" w:lineRule="exact"/>
        <w:rPr>
          <w:rFonts w:ascii="Times New Roman" w:hAnsi="Times New Roman" w:eastAsia="仿宋_GB2312"/>
        </w:rPr>
      </w:pPr>
      <w:bookmarkStart w:id="64" w:name="_Toc59453428"/>
      <w:bookmarkStart w:id="65" w:name="_Toc65568807"/>
      <w:bookmarkStart w:id="66" w:name="_Toc68612207"/>
      <w:r>
        <w:rPr>
          <w:rFonts w:ascii="Times New Roman" w:hAnsi="Times New Roman" w:eastAsia="仿宋_GB2312"/>
        </w:rPr>
        <w:t>3.3农村饮用水水源保护范围划定内业流程</w:t>
      </w:r>
      <w:bookmarkEnd w:id="64"/>
      <w:bookmarkEnd w:id="65"/>
      <w:bookmarkEnd w:id="66"/>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根据《浙江省水利厅关于下达农村饮用水水源保护区范围划定工作的通知》（浙水保</w:t>
      </w:r>
      <w:r>
        <w:rPr>
          <w:rFonts w:ascii="Times New Roman" w:hAnsi="Times New Roman" w:eastAsia="仿宋_GB2312"/>
          <w:bCs/>
          <w:snapToGrid w:val="0"/>
          <w:kern w:val="0"/>
          <w:sz w:val="28"/>
          <w:szCs w:val="28"/>
        </w:rPr>
        <w:t>〔</w:t>
      </w:r>
      <w:r>
        <w:rPr>
          <w:rFonts w:ascii="Times New Roman" w:hAnsi="Times New Roman" w:eastAsia="仿宋_GB2312"/>
          <w:sz w:val="28"/>
          <w:szCs w:val="28"/>
        </w:rPr>
        <w:t>2016</w:t>
      </w:r>
      <w:r>
        <w:rPr>
          <w:rFonts w:ascii="Times New Roman" w:hAnsi="Times New Roman" w:eastAsia="仿宋_GB2312"/>
          <w:bCs/>
          <w:snapToGrid w:val="0"/>
          <w:kern w:val="0"/>
          <w:sz w:val="28"/>
          <w:szCs w:val="28"/>
        </w:rPr>
        <w:t>〕</w:t>
      </w:r>
      <w:r>
        <w:rPr>
          <w:rFonts w:ascii="Times New Roman" w:hAnsi="Times New Roman" w:eastAsia="仿宋_GB2312"/>
          <w:sz w:val="28"/>
          <w:szCs w:val="28"/>
        </w:rPr>
        <w:t>27号），</w:t>
      </w:r>
      <w:r>
        <w:rPr>
          <w:rFonts w:hint="eastAsia" w:ascii="Times New Roman" w:hAnsi="Times New Roman" w:eastAsia="仿宋_GB2312"/>
          <w:sz w:val="28"/>
          <w:szCs w:val="28"/>
        </w:rPr>
        <w:t>先在</w:t>
      </w:r>
      <w:r>
        <w:rPr>
          <w:rFonts w:ascii="Times New Roman" w:hAnsi="Times New Roman" w:eastAsia="仿宋_GB2312"/>
          <w:sz w:val="28"/>
          <w:szCs w:val="28"/>
        </w:rPr>
        <w:t>遥感影像图上确定农村饮用水水源地的位置，并对其进行标注，建立解释标志。再以2019年高分系列遥感影像图为底图，以建立解释标志作为参考，在1:10000数字化地图上，利用GIS相关软件，初步绘制农村饮用水水源保护范围图。</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为便于开展水源保护范围内的日常环境管理工作，充分利用行政区边界、公路和水库大坝等永久性</w:t>
      </w:r>
      <w:r>
        <w:rPr>
          <w:rFonts w:ascii="Times New Roman" w:hAnsi="Times New Roman" w:eastAsia="仿宋_GB2312"/>
          <w:snapToGrid w:val="0"/>
          <w:kern w:val="0"/>
          <w:sz w:val="28"/>
          <w:szCs w:val="28"/>
        </w:rPr>
        <w:t>明显</w:t>
      </w:r>
      <w:r>
        <w:rPr>
          <w:rFonts w:ascii="Times New Roman" w:hAnsi="Times New Roman" w:eastAsia="仿宋_GB2312"/>
          <w:sz w:val="28"/>
          <w:szCs w:val="28"/>
        </w:rPr>
        <w:t>标志，确定水源保护边界，为能较好地对水源保护</w:t>
      </w:r>
      <w:r>
        <w:rPr>
          <w:rFonts w:ascii="Times New Roman" w:hAnsi="Times New Roman" w:eastAsia="仿宋_GB2312"/>
          <w:snapToGrid w:val="0"/>
          <w:kern w:val="0"/>
          <w:sz w:val="28"/>
          <w:szCs w:val="28"/>
        </w:rPr>
        <w:t>范围</w:t>
      </w:r>
      <w:r>
        <w:rPr>
          <w:rFonts w:ascii="Times New Roman" w:hAnsi="Times New Roman" w:eastAsia="仿宋_GB2312"/>
          <w:sz w:val="28"/>
          <w:szCs w:val="28"/>
        </w:rPr>
        <w:t>进行监督、管理，对水源保护范围内及周边明显地物进行图上圈选。</w:t>
      </w:r>
    </w:p>
    <w:p>
      <w:pPr>
        <w:pStyle w:val="3"/>
        <w:spacing w:before="120" w:beforeLines="50" w:afterLines="50" w:line="580" w:lineRule="exact"/>
        <w:rPr>
          <w:rFonts w:ascii="Times New Roman" w:hAnsi="Times New Roman" w:eastAsia="仿宋_GB2312"/>
        </w:rPr>
      </w:pPr>
      <w:bookmarkStart w:id="67" w:name="_Toc59453429"/>
      <w:bookmarkStart w:id="68" w:name="_Toc65568808"/>
      <w:bookmarkStart w:id="69" w:name="_Toc68612208"/>
      <w:r>
        <w:rPr>
          <w:rFonts w:ascii="Times New Roman" w:hAnsi="Times New Roman" w:eastAsia="仿宋_GB2312"/>
        </w:rPr>
        <w:t>3.4农村饮用水水源保护范围划定外业调查与复核</w:t>
      </w:r>
      <w:bookmarkEnd w:id="67"/>
      <w:bookmarkEnd w:id="68"/>
      <w:bookmarkEnd w:id="69"/>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完成饮用水水源保护区划定工作后，须进行水源地的现场调查与复核，基本工作步骤为：</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（1）复核水源地位置是否和图上绘制的水源地位置相同，复核主要拐点位置的经纬度（GPS）；</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（2）在农村饮用水源保护范围图上描绘水源保护范围边界的起始位置，符合划定的范围是否符合实际情况，主要拐点和边界是否发生较大变化，保护范围是否需要调整等；</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（3）此外对水源地及对应水站基本信息进行调查，确认供水情况是否与实际相符。</w:t>
      </w:r>
    </w:p>
    <w:p>
      <w:pPr>
        <w:pStyle w:val="3"/>
        <w:spacing w:before="120" w:beforeLines="50" w:afterLines="50" w:line="580" w:lineRule="exact"/>
        <w:rPr>
          <w:rFonts w:ascii="Times New Roman" w:hAnsi="Times New Roman" w:eastAsia="仿宋_GB2312"/>
        </w:rPr>
      </w:pPr>
      <w:bookmarkStart w:id="70" w:name="_Toc65568809"/>
      <w:bookmarkStart w:id="71" w:name="_Toc68612209"/>
      <w:bookmarkStart w:id="72" w:name="_Hlk66107577"/>
      <w:r>
        <w:rPr>
          <w:rFonts w:ascii="Times New Roman" w:hAnsi="Times New Roman" w:eastAsia="仿宋_GB2312"/>
        </w:rPr>
        <w:t>3.</w:t>
      </w:r>
      <w:bookmarkStart w:id="73" w:name="_Hlk57826386"/>
      <w:r>
        <w:rPr>
          <w:rFonts w:ascii="Times New Roman" w:hAnsi="Times New Roman" w:eastAsia="仿宋_GB2312"/>
        </w:rPr>
        <w:t>5划定结果</w:t>
      </w:r>
      <w:bookmarkEnd w:id="70"/>
      <w:bookmarkEnd w:id="71"/>
    </w:p>
    <w:p>
      <w:pPr>
        <w:pStyle w:val="91"/>
        <w:spacing w:before="0" w:after="0" w:line="580" w:lineRule="exact"/>
        <w:ind w:left="0" w:leftChars="0" w:firstLine="562" w:firstLineChars="200"/>
        <w:rPr>
          <w:rFonts w:eastAsia="仿宋_GB2312"/>
          <w:color w:val="auto"/>
        </w:rPr>
      </w:pPr>
      <w:bookmarkStart w:id="74" w:name="_Hlk58714960"/>
      <w:bookmarkStart w:id="75" w:name="_Toc68612210"/>
      <w:r>
        <w:rPr>
          <w:rFonts w:eastAsia="仿宋_GB2312"/>
          <w:color w:val="auto"/>
        </w:rPr>
        <w:t>3.5.1</w:t>
      </w:r>
      <w:bookmarkEnd w:id="74"/>
      <w:r>
        <w:rPr>
          <w:rFonts w:eastAsia="仿宋_GB2312"/>
          <w:color w:val="auto"/>
        </w:rPr>
        <w:t>华光潭一级水库</w:t>
      </w:r>
      <w:bookmarkEnd w:id="75"/>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华光潭一级水库属河道型水库，具有明显的河流特征，故保护区范围参照河流型饮用水水源保护区的相关划分技术规范进行划分，划分结果如下：</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保护区范围为华光潭一级水库</w:t>
      </w:r>
      <w:r>
        <w:rPr>
          <w:rFonts w:hint="eastAsia" w:ascii="Times New Roman" w:hAnsi="Times New Roman" w:eastAsia="仿宋_GB2312"/>
          <w:snapToGrid w:val="0"/>
          <w:kern w:val="0"/>
          <w:sz w:val="28"/>
          <w:szCs w:val="28"/>
        </w:rPr>
        <w:t>大坝上游3</w:t>
      </w:r>
      <w:r>
        <w:rPr>
          <w:rFonts w:ascii="Times New Roman" w:hAnsi="Times New Roman" w:eastAsia="仿宋_GB2312"/>
          <w:snapToGrid w:val="0"/>
          <w:kern w:val="0"/>
          <w:sz w:val="28"/>
          <w:szCs w:val="28"/>
        </w:rPr>
        <w:t>500m</w:t>
      </w:r>
      <w:r>
        <w:rPr>
          <w:rFonts w:hint="eastAsia" w:ascii="Times New Roman" w:hAnsi="Times New Roman" w:eastAsia="仿宋_GB2312"/>
          <w:snapToGrid w:val="0"/>
          <w:kern w:val="0"/>
          <w:sz w:val="28"/>
          <w:szCs w:val="28"/>
        </w:rPr>
        <w:t>至水库大坝及沿岸纵深1</w:t>
      </w:r>
      <w:r>
        <w:rPr>
          <w:rFonts w:ascii="Times New Roman" w:hAnsi="Times New Roman" w:eastAsia="仿宋_GB2312"/>
          <w:snapToGrid w:val="0"/>
          <w:kern w:val="0"/>
          <w:sz w:val="28"/>
          <w:szCs w:val="28"/>
        </w:rPr>
        <w:t>000m</w:t>
      </w:r>
      <w:r>
        <w:rPr>
          <w:rFonts w:hint="eastAsia" w:ascii="Times New Roman" w:hAnsi="Times New Roman" w:eastAsia="仿宋_GB2312"/>
          <w:snapToGrid w:val="0"/>
          <w:kern w:val="0"/>
          <w:sz w:val="28"/>
          <w:szCs w:val="28"/>
        </w:rPr>
        <w:t>范围内陆域</w:t>
      </w:r>
      <w:r>
        <w:rPr>
          <w:rFonts w:ascii="Times New Roman" w:hAnsi="Times New Roman" w:eastAsia="仿宋_GB2312"/>
          <w:kern w:val="0"/>
          <w:sz w:val="28"/>
          <w:szCs w:val="28"/>
        </w:rPr>
        <w:t>，保护区总面积7.99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，取水口坐标为119°02'3.52"E</w:t>
      </w:r>
      <w:r>
        <w:rPr>
          <w:rFonts w:hint="eastAsia" w:ascii="Times New Roman" w:hAnsi="Times New Roman" w:eastAsia="仿宋_GB2312"/>
          <w:kern w:val="0"/>
          <w:sz w:val="28"/>
          <w:szCs w:val="28"/>
        </w:rPr>
        <w:t>，</w:t>
      </w:r>
      <w:r>
        <w:rPr>
          <w:rFonts w:ascii="Times New Roman" w:hAnsi="Times New Roman" w:eastAsia="仿宋_GB2312"/>
          <w:kern w:val="0"/>
          <w:sz w:val="28"/>
          <w:szCs w:val="28"/>
        </w:rPr>
        <w:t>30°17'4.24"N。</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一级保护区水域：</w:t>
      </w:r>
      <w:r>
        <w:rPr>
          <w:rFonts w:hint="eastAsia" w:ascii="Times New Roman" w:hAnsi="Times New Roman" w:eastAsia="仿宋_GB2312"/>
          <w:snapToGrid w:val="0"/>
          <w:kern w:val="0"/>
          <w:sz w:val="28"/>
          <w:szCs w:val="28"/>
        </w:rPr>
        <w:t>取水口上游1</w:t>
      </w:r>
      <w:r>
        <w:rPr>
          <w:rFonts w:ascii="Times New Roman" w:hAnsi="Times New Roman" w:eastAsia="仿宋_GB2312"/>
          <w:snapToGrid w:val="0"/>
          <w:kern w:val="0"/>
          <w:sz w:val="28"/>
          <w:szCs w:val="28"/>
        </w:rPr>
        <w:t>000m</w:t>
      </w:r>
      <w:r>
        <w:rPr>
          <w:rFonts w:hint="eastAsia" w:ascii="Times New Roman" w:hAnsi="Times New Roman" w:eastAsia="仿宋_GB2312"/>
          <w:snapToGrid w:val="0"/>
          <w:kern w:val="0"/>
          <w:sz w:val="28"/>
          <w:szCs w:val="28"/>
        </w:rPr>
        <w:t>至下游1</w:t>
      </w:r>
      <w:r>
        <w:rPr>
          <w:rFonts w:ascii="Times New Roman" w:hAnsi="Times New Roman" w:eastAsia="仿宋_GB2312"/>
          <w:snapToGrid w:val="0"/>
          <w:kern w:val="0"/>
          <w:sz w:val="28"/>
          <w:szCs w:val="28"/>
        </w:rPr>
        <w:t>00m</w:t>
      </w:r>
      <w:r>
        <w:rPr>
          <w:rFonts w:hint="eastAsia" w:ascii="Times New Roman" w:hAnsi="Times New Roman" w:eastAsia="仿宋_GB2312"/>
          <w:snapToGrid w:val="0"/>
          <w:kern w:val="0"/>
          <w:sz w:val="28"/>
          <w:szCs w:val="28"/>
        </w:rPr>
        <w:t>范围内水域，面积</w:t>
      </w:r>
      <w:r>
        <w:rPr>
          <w:rFonts w:ascii="Times New Roman" w:hAnsi="Times New Roman" w:eastAsia="仿宋_GB2312"/>
          <w:snapToGrid w:val="0"/>
          <w:kern w:val="0"/>
          <w:sz w:val="28"/>
          <w:szCs w:val="28"/>
        </w:rPr>
        <w:t>0.299</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一级保护区陆域：一级保护区水域</w:t>
      </w:r>
      <w:r>
        <w:rPr>
          <w:rFonts w:hint="eastAsia" w:ascii="Times New Roman" w:hAnsi="Times New Roman" w:eastAsia="仿宋_GB2312"/>
          <w:kern w:val="0"/>
          <w:sz w:val="28"/>
          <w:szCs w:val="28"/>
        </w:rPr>
        <w:t>沿岸纵深</w:t>
      </w:r>
      <w:r>
        <w:rPr>
          <w:rFonts w:ascii="Times New Roman" w:hAnsi="Times New Roman" w:eastAsia="仿宋_GB2312"/>
          <w:kern w:val="0"/>
          <w:sz w:val="28"/>
          <w:szCs w:val="28"/>
        </w:rPr>
        <w:t>50m</w:t>
      </w:r>
      <w:r>
        <w:rPr>
          <w:rFonts w:hint="eastAsia" w:ascii="Times New Roman" w:hAnsi="Times New Roman" w:eastAsia="仿宋_GB2312"/>
          <w:kern w:val="0"/>
          <w:sz w:val="28"/>
          <w:szCs w:val="28"/>
        </w:rPr>
        <w:t>范围内陆域，其中北岸</w:t>
      </w:r>
      <w:r>
        <w:rPr>
          <w:rFonts w:ascii="Times New Roman" w:hAnsi="Times New Roman" w:eastAsia="仿宋_GB2312"/>
          <w:kern w:val="0"/>
          <w:sz w:val="28"/>
          <w:szCs w:val="28"/>
        </w:rPr>
        <w:t>50m</w:t>
      </w:r>
      <w:r>
        <w:rPr>
          <w:rFonts w:hint="eastAsia" w:ascii="Times New Roman" w:hAnsi="Times New Roman" w:eastAsia="仿宋_GB2312"/>
          <w:kern w:val="0"/>
          <w:sz w:val="28"/>
          <w:szCs w:val="28"/>
        </w:rPr>
        <w:t>范围内存在道路的，以道路为界，面积</w:t>
      </w:r>
      <w:r>
        <w:rPr>
          <w:rFonts w:ascii="Times New Roman" w:hAnsi="Times New Roman" w:eastAsia="仿宋_GB2312"/>
          <w:kern w:val="0"/>
          <w:sz w:val="28"/>
          <w:szCs w:val="28"/>
        </w:rPr>
        <w:t>0.149km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二级保护区水域：</w:t>
      </w:r>
      <w:r>
        <w:rPr>
          <w:rFonts w:hint="eastAsia" w:ascii="Times New Roman" w:hAnsi="Times New Roman" w:eastAsia="仿宋_GB2312"/>
          <w:kern w:val="0"/>
          <w:sz w:val="28"/>
          <w:szCs w:val="28"/>
        </w:rPr>
        <w:t>一级保护区的上游边界上游延伸</w:t>
      </w:r>
      <w:r>
        <w:rPr>
          <w:rFonts w:ascii="Times New Roman" w:hAnsi="Times New Roman" w:eastAsia="仿宋_GB2312"/>
          <w:kern w:val="0"/>
          <w:sz w:val="28"/>
          <w:szCs w:val="28"/>
        </w:rPr>
        <w:t>2000m</w:t>
      </w:r>
      <w:r>
        <w:rPr>
          <w:rFonts w:hint="eastAsia" w:ascii="Times New Roman" w:hAnsi="Times New Roman" w:eastAsia="仿宋_GB2312"/>
          <w:kern w:val="0"/>
          <w:sz w:val="28"/>
          <w:szCs w:val="28"/>
        </w:rPr>
        <w:t>，下游为一级保护区下游边界至水库大坝范围内水域，面积0</w:t>
      </w:r>
      <w:r>
        <w:rPr>
          <w:rFonts w:ascii="Times New Roman" w:hAnsi="Times New Roman" w:eastAsia="仿宋_GB2312"/>
          <w:kern w:val="0"/>
          <w:sz w:val="28"/>
          <w:szCs w:val="28"/>
        </w:rPr>
        <w:t>.547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二级保护区陆域：</w:t>
      </w:r>
      <w:r>
        <w:rPr>
          <w:rFonts w:hint="eastAsia" w:ascii="Times New Roman" w:hAnsi="Times New Roman" w:eastAsia="仿宋_GB2312"/>
          <w:kern w:val="0"/>
          <w:sz w:val="28"/>
          <w:szCs w:val="28"/>
        </w:rPr>
        <w:t>保护区水域沿岸纵深1</w:t>
      </w:r>
      <w:r>
        <w:rPr>
          <w:rFonts w:ascii="Times New Roman" w:hAnsi="Times New Roman" w:eastAsia="仿宋_GB2312"/>
          <w:kern w:val="0"/>
          <w:sz w:val="28"/>
          <w:szCs w:val="28"/>
        </w:rPr>
        <w:t>000</w:t>
      </w:r>
      <w:r>
        <w:rPr>
          <w:rFonts w:hint="eastAsia" w:ascii="Times New Roman" w:hAnsi="Times New Roman" w:eastAsia="仿宋_GB2312"/>
          <w:kern w:val="0"/>
          <w:sz w:val="28"/>
          <w:szCs w:val="28"/>
        </w:rPr>
        <w:t>范围内陆域（一级保护区陆域除外），不超过流域分水岭，面积</w:t>
      </w:r>
      <w:r>
        <w:rPr>
          <w:rFonts w:ascii="Times New Roman" w:hAnsi="Times New Roman" w:eastAsia="仿宋_GB2312"/>
          <w:kern w:val="0"/>
          <w:sz w:val="28"/>
          <w:szCs w:val="28"/>
        </w:rPr>
        <w:t>6.995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华光潭一级水库</w:t>
      </w:r>
      <w:r>
        <w:rPr>
          <w:rFonts w:ascii="Times New Roman" w:hAnsi="Times New Roman" w:eastAsia="仿宋_GB2312"/>
          <w:kern w:val="0"/>
          <w:sz w:val="28"/>
          <w:szCs w:val="28"/>
        </w:rPr>
        <w:t>饮用水水源保护区信息登记表见附表2。</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华光潭一级水库</w:t>
      </w:r>
      <w:r>
        <w:rPr>
          <w:rFonts w:ascii="Times New Roman" w:hAnsi="Times New Roman" w:eastAsia="仿宋_GB2312"/>
          <w:kern w:val="0"/>
          <w:sz w:val="28"/>
          <w:szCs w:val="28"/>
        </w:rPr>
        <w:t>饮用水水源保护区划定方案见附图1。</w:t>
      </w:r>
    </w:p>
    <w:p>
      <w:pPr>
        <w:pStyle w:val="91"/>
        <w:spacing w:before="0" w:after="0" w:line="580" w:lineRule="exact"/>
        <w:ind w:left="0" w:leftChars="0" w:firstLine="562" w:firstLineChars="200"/>
        <w:rPr>
          <w:rFonts w:eastAsia="仿宋_GB2312"/>
          <w:color w:val="auto"/>
        </w:rPr>
      </w:pPr>
      <w:bookmarkStart w:id="76" w:name="_Toc68612211"/>
      <w:r>
        <w:rPr>
          <w:rFonts w:eastAsia="仿宋_GB2312"/>
          <w:color w:val="auto"/>
        </w:rPr>
        <w:t>3.5.2板桥镇居仁水库</w:t>
      </w:r>
      <w:bookmarkEnd w:id="76"/>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板桥镇居仁水库为小型水库，保护区按照水库型饮用水水源保护区的相关划分技术规范进行划分，划分方案如下：</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保护区范围为居仁水库水域及</w:t>
      </w:r>
      <w:r>
        <w:rPr>
          <w:rFonts w:hint="eastAsia" w:ascii="Times New Roman" w:hAnsi="Times New Roman" w:eastAsia="仿宋_GB2312"/>
          <w:snapToGrid w:val="0"/>
          <w:kern w:val="0"/>
          <w:sz w:val="28"/>
          <w:szCs w:val="28"/>
        </w:rPr>
        <w:t>水库</w:t>
      </w:r>
      <w:r>
        <w:rPr>
          <w:rFonts w:ascii="Times New Roman" w:hAnsi="Times New Roman" w:eastAsia="仿宋_GB2312"/>
          <w:snapToGrid w:val="0"/>
          <w:kern w:val="0"/>
          <w:sz w:val="28"/>
          <w:szCs w:val="28"/>
        </w:rPr>
        <w:t>集雨区</w:t>
      </w:r>
      <w:r>
        <w:rPr>
          <w:rFonts w:hint="eastAsia" w:ascii="Times New Roman" w:hAnsi="Times New Roman" w:eastAsia="仿宋_GB2312"/>
          <w:snapToGrid w:val="0"/>
          <w:kern w:val="0"/>
          <w:sz w:val="28"/>
          <w:szCs w:val="28"/>
        </w:rPr>
        <w:t>范围</w:t>
      </w:r>
      <w:r>
        <w:rPr>
          <w:rFonts w:ascii="Times New Roman" w:hAnsi="Times New Roman" w:eastAsia="仿宋_GB2312"/>
          <w:snapToGrid w:val="0"/>
          <w:kern w:val="0"/>
          <w:sz w:val="28"/>
          <w:szCs w:val="28"/>
        </w:rPr>
        <w:t>，不超过分水岭</w:t>
      </w:r>
      <w:r>
        <w:rPr>
          <w:rFonts w:ascii="Times New Roman" w:hAnsi="Times New Roman" w:eastAsia="仿宋_GB2312"/>
          <w:kern w:val="0"/>
          <w:sz w:val="28"/>
          <w:szCs w:val="28"/>
        </w:rPr>
        <w:t>，保护区总面积2.18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，取水口坐标为</w:t>
      </w:r>
      <w:r>
        <w:rPr>
          <w:rFonts w:ascii="Times New Roman" w:hAnsi="Times New Roman" w:eastAsia="仿宋_GB2312"/>
          <w:snapToGrid w:val="0"/>
          <w:kern w:val="0"/>
          <w:sz w:val="28"/>
          <w:szCs w:val="28"/>
        </w:rPr>
        <w:t>119°49'15.6"E</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30°10'6.96"N</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一级保护区水域：</w:t>
      </w:r>
      <w:r>
        <w:rPr>
          <w:rFonts w:ascii="Times New Roman" w:hAnsi="Times New Roman" w:eastAsia="仿宋_GB2312"/>
          <w:snapToGrid w:val="0"/>
          <w:kern w:val="0"/>
          <w:sz w:val="28"/>
          <w:szCs w:val="28"/>
        </w:rPr>
        <w:t>水库多年平均水位线对应的高程线</w:t>
      </w:r>
      <w:r>
        <w:rPr>
          <w:rFonts w:hint="eastAsia" w:ascii="Times New Roman" w:hAnsi="Times New Roman" w:eastAsia="仿宋_GB2312"/>
          <w:snapToGrid w:val="0"/>
          <w:kern w:val="0"/>
          <w:sz w:val="28"/>
          <w:szCs w:val="28"/>
        </w:rPr>
        <w:t>（1</w:t>
      </w:r>
      <w:r>
        <w:rPr>
          <w:rFonts w:ascii="Times New Roman" w:hAnsi="Times New Roman" w:eastAsia="仿宋_GB2312"/>
          <w:snapToGrid w:val="0"/>
          <w:kern w:val="0"/>
          <w:sz w:val="28"/>
          <w:szCs w:val="28"/>
        </w:rPr>
        <w:t>80m</w:t>
      </w:r>
      <w:r>
        <w:rPr>
          <w:rFonts w:hint="eastAsia" w:ascii="Times New Roman" w:hAnsi="Times New Roman" w:eastAsia="仿宋_GB2312"/>
          <w:snapToGrid w:val="0"/>
          <w:kern w:val="0"/>
          <w:sz w:val="28"/>
          <w:szCs w:val="28"/>
        </w:rPr>
        <w:t>）以下</w:t>
      </w:r>
      <w:r>
        <w:rPr>
          <w:rFonts w:ascii="Times New Roman" w:hAnsi="Times New Roman" w:eastAsia="仿宋_GB2312"/>
          <w:snapToGrid w:val="0"/>
          <w:kern w:val="0"/>
          <w:sz w:val="28"/>
          <w:szCs w:val="28"/>
        </w:rPr>
        <w:t>的全部水域，</w:t>
      </w:r>
      <w:r>
        <w:rPr>
          <w:rFonts w:ascii="Times New Roman" w:hAnsi="Times New Roman" w:eastAsia="仿宋_GB2312"/>
          <w:kern w:val="0"/>
          <w:sz w:val="28"/>
          <w:szCs w:val="28"/>
        </w:rPr>
        <w:t>面积0.046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一级保护区陆域：一级保护区水</w:t>
      </w:r>
      <w:r>
        <w:rPr>
          <w:rFonts w:ascii="Times New Roman" w:hAnsi="Times New Roman" w:eastAsia="仿宋_GB2312"/>
          <w:snapToGrid w:val="0"/>
          <w:kern w:val="0"/>
          <w:sz w:val="28"/>
          <w:szCs w:val="28"/>
        </w:rPr>
        <w:t>域外</w:t>
      </w:r>
      <w:r>
        <w:rPr>
          <w:rFonts w:ascii="Times New Roman" w:hAnsi="Times New Roman" w:eastAsia="仿宋_GB2312"/>
          <w:kern w:val="0"/>
          <w:sz w:val="28"/>
          <w:szCs w:val="28"/>
        </w:rPr>
        <w:t>200m范围内陆域，不超过水库大坝，不超过分水岭，面积0.305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二级保护区陆域：水库</w:t>
      </w:r>
      <w:r>
        <w:rPr>
          <w:rFonts w:ascii="Times New Roman" w:hAnsi="Times New Roman" w:eastAsia="仿宋_GB2312"/>
          <w:snapToGrid w:val="0"/>
          <w:kern w:val="0"/>
          <w:sz w:val="28"/>
          <w:szCs w:val="28"/>
        </w:rPr>
        <w:t>多年平均水位</w:t>
      </w:r>
      <w:r>
        <w:rPr>
          <w:rFonts w:ascii="Times New Roman" w:hAnsi="Times New Roman" w:eastAsia="仿宋_GB2312"/>
          <w:kern w:val="0"/>
          <w:sz w:val="28"/>
          <w:szCs w:val="28"/>
        </w:rPr>
        <w:t>线以上</w:t>
      </w:r>
      <w:r>
        <w:rPr>
          <w:rFonts w:hint="eastAsia" w:ascii="Times New Roman" w:hAnsi="Times New Roman" w:eastAsia="仿宋_GB2312"/>
          <w:kern w:val="0"/>
          <w:sz w:val="28"/>
          <w:szCs w:val="28"/>
        </w:rPr>
        <w:t>周边</w:t>
      </w:r>
      <w:r>
        <w:rPr>
          <w:rFonts w:ascii="Times New Roman" w:hAnsi="Times New Roman" w:eastAsia="仿宋_GB2312"/>
          <w:kern w:val="0"/>
          <w:sz w:val="28"/>
          <w:szCs w:val="28"/>
        </w:rPr>
        <w:t>集雨区域（一级保护区</w:t>
      </w:r>
      <w:r>
        <w:rPr>
          <w:rFonts w:hint="eastAsia" w:ascii="Times New Roman" w:hAnsi="Times New Roman" w:eastAsia="仿宋_GB2312"/>
          <w:kern w:val="0"/>
          <w:sz w:val="28"/>
          <w:szCs w:val="28"/>
        </w:rPr>
        <w:t>陆域</w:t>
      </w:r>
      <w:r>
        <w:rPr>
          <w:rFonts w:ascii="Times New Roman" w:hAnsi="Times New Roman" w:eastAsia="仿宋_GB2312"/>
          <w:kern w:val="0"/>
          <w:sz w:val="28"/>
          <w:szCs w:val="28"/>
        </w:rPr>
        <w:t>除外），面积1.828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板桥镇居仁水库</w:t>
      </w:r>
      <w:r>
        <w:rPr>
          <w:rFonts w:ascii="Times New Roman" w:hAnsi="Times New Roman" w:eastAsia="仿宋_GB2312"/>
          <w:kern w:val="0"/>
          <w:sz w:val="28"/>
          <w:szCs w:val="28"/>
        </w:rPr>
        <w:t>饮用水水源保护区信息登记表见附表3。</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板桥镇居仁水库</w:t>
      </w:r>
      <w:r>
        <w:rPr>
          <w:rFonts w:ascii="Times New Roman" w:hAnsi="Times New Roman" w:eastAsia="仿宋_GB2312"/>
          <w:kern w:val="0"/>
          <w:sz w:val="28"/>
          <w:szCs w:val="28"/>
        </w:rPr>
        <w:t>饮用水水源保护区划定方案见附图2。</w:t>
      </w:r>
    </w:p>
    <w:p>
      <w:pPr>
        <w:pStyle w:val="91"/>
        <w:spacing w:before="0" w:after="0" w:line="580" w:lineRule="exact"/>
        <w:ind w:left="0" w:leftChars="0" w:firstLine="562" w:firstLineChars="200"/>
        <w:rPr>
          <w:rFonts w:eastAsia="仿宋_GB2312"/>
          <w:color w:val="auto"/>
        </w:rPr>
      </w:pPr>
      <w:bookmarkStart w:id="77" w:name="_Toc68612212"/>
      <w:r>
        <w:rPr>
          <w:rFonts w:eastAsia="仿宋_GB2312"/>
          <w:color w:val="auto"/>
        </w:rPr>
        <w:t>3.5.3 河桥镇江岭水库</w:t>
      </w:r>
      <w:bookmarkEnd w:id="77"/>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河桥镇江岭水库为小型水库，保护区按照水库型饮用水水源保护区的相关划分技术规范进行划分，划分方案如下：</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保护区范围为江岭水库</w:t>
      </w:r>
      <w:r>
        <w:rPr>
          <w:rFonts w:hint="eastAsia" w:ascii="Times New Roman" w:hAnsi="Times New Roman" w:eastAsia="仿宋_GB2312"/>
          <w:snapToGrid w:val="0"/>
          <w:kern w:val="0"/>
          <w:sz w:val="28"/>
          <w:szCs w:val="28"/>
        </w:rPr>
        <w:t>水域</w:t>
      </w:r>
      <w:r>
        <w:rPr>
          <w:rFonts w:ascii="Times New Roman" w:hAnsi="Times New Roman" w:eastAsia="仿宋_GB2312"/>
          <w:snapToGrid w:val="0"/>
          <w:kern w:val="0"/>
          <w:sz w:val="28"/>
          <w:szCs w:val="28"/>
        </w:rPr>
        <w:t>及集雨区域。保护区总面积为2.895</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，取水口坐标为119°02'10.2"E</w:t>
      </w:r>
      <w:r>
        <w:rPr>
          <w:rFonts w:hint="eastAsia" w:ascii="Times New Roman" w:hAnsi="Times New Roman" w:eastAsia="仿宋_GB2312"/>
          <w:kern w:val="0"/>
          <w:sz w:val="28"/>
          <w:szCs w:val="28"/>
        </w:rPr>
        <w:t>，</w:t>
      </w:r>
      <w:r>
        <w:rPr>
          <w:rFonts w:ascii="Times New Roman" w:hAnsi="Times New Roman" w:eastAsia="仿宋_GB2312"/>
          <w:kern w:val="0"/>
          <w:sz w:val="28"/>
          <w:szCs w:val="28"/>
        </w:rPr>
        <w:t>30°05'5.04"N。</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一级保护区水域：</w:t>
      </w:r>
      <w:r>
        <w:rPr>
          <w:rFonts w:ascii="Times New Roman" w:hAnsi="Times New Roman" w:eastAsia="仿宋_GB2312"/>
          <w:snapToGrid w:val="0"/>
          <w:kern w:val="0"/>
          <w:sz w:val="28"/>
          <w:szCs w:val="28"/>
        </w:rPr>
        <w:t>水库多年平均水位线对应的高程线</w:t>
      </w:r>
      <w:r>
        <w:rPr>
          <w:rFonts w:hint="eastAsia" w:ascii="Times New Roman" w:hAnsi="Times New Roman" w:eastAsia="仿宋_GB2312"/>
          <w:snapToGrid w:val="0"/>
          <w:kern w:val="0"/>
          <w:sz w:val="28"/>
          <w:szCs w:val="28"/>
        </w:rPr>
        <w:t>以下（3</w:t>
      </w:r>
      <w:r>
        <w:rPr>
          <w:rFonts w:ascii="Times New Roman" w:hAnsi="Times New Roman" w:eastAsia="仿宋_GB2312"/>
          <w:snapToGrid w:val="0"/>
          <w:kern w:val="0"/>
          <w:sz w:val="28"/>
          <w:szCs w:val="28"/>
        </w:rPr>
        <w:t>75m</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的全部水域，面积0.068</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一级保护区陆域：一级保护区水域外200m范围内陆域，</w:t>
      </w:r>
      <w:r>
        <w:rPr>
          <w:rFonts w:hint="eastAsia" w:ascii="Times New Roman" w:hAnsi="Times New Roman" w:eastAsia="仿宋_GB2312"/>
          <w:kern w:val="0"/>
          <w:sz w:val="28"/>
          <w:szCs w:val="28"/>
        </w:rPr>
        <w:t>其中北岸陆域2</w:t>
      </w:r>
      <w:r>
        <w:rPr>
          <w:rFonts w:ascii="Times New Roman" w:hAnsi="Times New Roman" w:eastAsia="仿宋_GB2312"/>
          <w:kern w:val="0"/>
          <w:sz w:val="28"/>
          <w:szCs w:val="28"/>
        </w:rPr>
        <w:t>00m</w:t>
      </w:r>
      <w:r>
        <w:rPr>
          <w:rFonts w:hint="eastAsia" w:ascii="Times New Roman" w:hAnsi="Times New Roman" w:eastAsia="仿宋_GB2312"/>
          <w:kern w:val="0"/>
          <w:sz w:val="28"/>
          <w:szCs w:val="28"/>
        </w:rPr>
        <w:t>范围内存在道路的以道路为界，</w:t>
      </w:r>
      <w:r>
        <w:rPr>
          <w:rFonts w:ascii="Times New Roman" w:hAnsi="Times New Roman" w:eastAsia="仿宋_GB2312"/>
          <w:kern w:val="0"/>
          <w:sz w:val="28"/>
          <w:szCs w:val="28"/>
        </w:rPr>
        <w:t>不超过水库大坝，不超过分水岭，面积0.21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二级保护区陆域：水库</w:t>
      </w:r>
      <w:r>
        <w:rPr>
          <w:rFonts w:ascii="Times New Roman" w:hAnsi="Times New Roman" w:eastAsia="仿宋_GB2312"/>
          <w:snapToGrid w:val="0"/>
          <w:kern w:val="0"/>
          <w:sz w:val="28"/>
          <w:szCs w:val="28"/>
        </w:rPr>
        <w:t>多年平均水位</w:t>
      </w:r>
      <w:r>
        <w:rPr>
          <w:rFonts w:ascii="Times New Roman" w:hAnsi="Times New Roman" w:eastAsia="仿宋_GB2312"/>
          <w:kern w:val="0"/>
          <w:sz w:val="28"/>
          <w:szCs w:val="28"/>
        </w:rPr>
        <w:t>线以上集雨区域（一级保护区除外），面积2.656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河桥镇江岭</w:t>
      </w:r>
      <w:r>
        <w:rPr>
          <w:rFonts w:ascii="Times New Roman" w:hAnsi="Times New Roman" w:eastAsia="仿宋_GB2312"/>
          <w:snapToGrid w:val="0"/>
          <w:kern w:val="0"/>
          <w:sz w:val="28"/>
          <w:szCs w:val="28"/>
        </w:rPr>
        <w:t>水库</w:t>
      </w:r>
      <w:r>
        <w:rPr>
          <w:rFonts w:ascii="Times New Roman" w:hAnsi="Times New Roman" w:eastAsia="仿宋_GB2312"/>
          <w:kern w:val="0"/>
          <w:sz w:val="28"/>
          <w:szCs w:val="28"/>
        </w:rPr>
        <w:t>饮用水水源保护区信息登记表见附表4。</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河桥镇江岭</w:t>
      </w:r>
      <w:r>
        <w:rPr>
          <w:rFonts w:ascii="Times New Roman" w:hAnsi="Times New Roman" w:eastAsia="仿宋_GB2312"/>
          <w:snapToGrid w:val="0"/>
          <w:kern w:val="0"/>
          <w:sz w:val="28"/>
          <w:szCs w:val="28"/>
        </w:rPr>
        <w:t>水库</w:t>
      </w:r>
      <w:r>
        <w:rPr>
          <w:rFonts w:ascii="Times New Roman" w:hAnsi="Times New Roman" w:eastAsia="仿宋_GB2312"/>
          <w:kern w:val="0"/>
          <w:sz w:val="28"/>
          <w:szCs w:val="28"/>
        </w:rPr>
        <w:t>饮用水水源保护区划定方案见附图3。</w:t>
      </w:r>
    </w:p>
    <w:p>
      <w:pPr>
        <w:pStyle w:val="91"/>
        <w:spacing w:before="0" w:after="0" w:line="580" w:lineRule="exact"/>
        <w:ind w:left="0" w:leftChars="0" w:firstLine="562" w:firstLineChars="200"/>
        <w:rPr>
          <w:rFonts w:eastAsia="仿宋_GB2312"/>
          <w:color w:val="auto"/>
        </w:rPr>
      </w:pPr>
      <w:bookmarkStart w:id="78" w:name="_Toc68612213"/>
      <w:r>
        <w:rPr>
          <w:rFonts w:eastAsia="仿宋_GB2312"/>
          <w:color w:val="auto"/>
        </w:rPr>
        <w:t>3.5.4 岛石镇喷洞水库</w:t>
      </w:r>
      <w:bookmarkEnd w:id="78"/>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岛石镇喷洞水库为小型水库，保护区按照水库型饮用水水源保护区的相关划分技术规范进行划分，喷洞水库西侧与安徽省行政区边界相邻，因此本次划分水库西侧保护区以杭州市行政区边界为界，同时由于喷洞水库取水口位于水库东侧，根据水库周边集雨区范围，喷洞水库饮用水水源地只划分水源一级保护区，无需划分饮用水水源二级保护区。</w:t>
      </w:r>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划分方案如下：</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保护区范围为喷洞水库</w:t>
      </w:r>
      <w:r>
        <w:rPr>
          <w:rFonts w:hint="eastAsia" w:ascii="Times New Roman" w:hAnsi="Times New Roman" w:eastAsia="仿宋_GB2312"/>
          <w:snapToGrid w:val="0"/>
          <w:kern w:val="0"/>
          <w:sz w:val="28"/>
          <w:szCs w:val="28"/>
        </w:rPr>
        <w:t>水域</w:t>
      </w:r>
      <w:r>
        <w:rPr>
          <w:rFonts w:ascii="Times New Roman" w:hAnsi="Times New Roman" w:eastAsia="仿宋_GB2312"/>
          <w:snapToGrid w:val="0"/>
          <w:kern w:val="0"/>
          <w:sz w:val="28"/>
          <w:szCs w:val="28"/>
        </w:rPr>
        <w:t>及集雨区域</w:t>
      </w:r>
      <w:r>
        <w:rPr>
          <w:rFonts w:hint="eastAsia" w:ascii="Times New Roman" w:hAnsi="Times New Roman" w:eastAsia="仿宋_GB2312"/>
          <w:snapToGrid w:val="0"/>
          <w:kern w:val="0"/>
          <w:sz w:val="28"/>
          <w:szCs w:val="28"/>
        </w:rPr>
        <w:t>（不超过杭州市行政区范围）</w:t>
      </w:r>
      <w:r>
        <w:rPr>
          <w:rFonts w:ascii="Times New Roman" w:hAnsi="Times New Roman" w:eastAsia="仿宋_GB2312"/>
          <w:snapToGrid w:val="0"/>
          <w:kern w:val="0"/>
          <w:sz w:val="28"/>
          <w:szCs w:val="28"/>
        </w:rPr>
        <w:t>。保护区总面积为0.104</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，取水口坐标为118°52'30"E</w:t>
      </w:r>
      <w:r>
        <w:rPr>
          <w:rFonts w:hint="eastAsia" w:ascii="Times New Roman" w:hAnsi="Times New Roman" w:eastAsia="仿宋_GB2312"/>
          <w:kern w:val="0"/>
          <w:sz w:val="28"/>
          <w:szCs w:val="28"/>
        </w:rPr>
        <w:t>，</w:t>
      </w:r>
      <w:r>
        <w:rPr>
          <w:rFonts w:ascii="Times New Roman" w:hAnsi="Times New Roman" w:eastAsia="仿宋_GB2312"/>
          <w:kern w:val="0"/>
          <w:sz w:val="28"/>
          <w:szCs w:val="28"/>
        </w:rPr>
        <w:t>30°17'11.76"N。</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一级保护区水域：</w:t>
      </w:r>
      <w:r>
        <w:rPr>
          <w:rFonts w:ascii="Times New Roman" w:hAnsi="Times New Roman" w:eastAsia="仿宋_GB2312"/>
          <w:snapToGrid w:val="0"/>
          <w:kern w:val="0"/>
          <w:sz w:val="28"/>
          <w:szCs w:val="28"/>
        </w:rPr>
        <w:t>水库多年平均水位</w:t>
      </w:r>
      <w:r>
        <w:rPr>
          <w:rFonts w:hint="eastAsia" w:ascii="Times New Roman" w:hAnsi="Times New Roman" w:eastAsia="仿宋_GB2312"/>
          <w:snapToGrid w:val="0"/>
          <w:kern w:val="0"/>
          <w:sz w:val="28"/>
          <w:szCs w:val="28"/>
        </w:rPr>
        <w:t>线</w:t>
      </w:r>
      <w:r>
        <w:rPr>
          <w:rFonts w:ascii="Times New Roman" w:hAnsi="Times New Roman" w:eastAsia="仿宋_GB2312"/>
          <w:snapToGrid w:val="0"/>
          <w:kern w:val="0"/>
          <w:sz w:val="28"/>
          <w:szCs w:val="28"/>
        </w:rPr>
        <w:t>对应</w:t>
      </w:r>
      <w:r>
        <w:rPr>
          <w:rFonts w:hint="eastAsia" w:ascii="Times New Roman" w:hAnsi="Times New Roman" w:eastAsia="仿宋_GB2312"/>
          <w:snapToGrid w:val="0"/>
          <w:kern w:val="0"/>
          <w:sz w:val="28"/>
          <w:szCs w:val="28"/>
        </w:rPr>
        <w:t>高程线（6</w:t>
      </w:r>
      <w:r>
        <w:rPr>
          <w:rFonts w:ascii="Times New Roman" w:hAnsi="Times New Roman" w:eastAsia="仿宋_GB2312"/>
          <w:snapToGrid w:val="0"/>
          <w:kern w:val="0"/>
          <w:sz w:val="28"/>
          <w:szCs w:val="28"/>
        </w:rPr>
        <w:t>25m</w:t>
      </w:r>
      <w:r>
        <w:rPr>
          <w:rFonts w:hint="eastAsia" w:ascii="Times New Roman" w:hAnsi="Times New Roman" w:eastAsia="仿宋_GB2312"/>
          <w:snapToGrid w:val="0"/>
          <w:kern w:val="0"/>
          <w:sz w:val="28"/>
          <w:szCs w:val="28"/>
        </w:rPr>
        <w:t>）以下</w:t>
      </w:r>
      <w:r>
        <w:rPr>
          <w:rFonts w:ascii="Times New Roman" w:hAnsi="Times New Roman" w:eastAsia="仿宋_GB2312"/>
          <w:snapToGrid w:val="0"/>
          <w:kern w:val="0"/>
          <w:sz w:val="28"/>
          <w:szCs w:val="28"/>
        </w:rPr>
        <w:t>的全部水域，面积0.016</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一级保护区陆域：</w:t>
      </w:r>
      <w:r>
        <w:rPr>
          <w:rFonts w:hint="eastAsia" w:ascii="Times New Roman" w:hAnsi="Times New Roman" w:eastAsia="仿宋_GB2312"/>
          <w:kern w:val="0"/>
          <w:sz w:val="28"/>
          <w:szCs w:val="28"/>
        </w:rPr>
        <w:t>水库</w:t>
      </w:r>
      <w:r>
        <w:rPr>
          <w:rFonts w:ascii="Times New Roman" w:hAnsi="Times New Roman" w:eastAsia="仿宋_GB2312"/>
          <w:snapToGrid w:val="0"/>
          <w:kern w:val="0"/>
          <w:sz w:val="28"/>
          <w:szCs w:val="28"/>
        </w:rPr>
        <w:t>多年平均水位</w:t>
      </w:r>
      <w:r>
        <w:rPr>
          <w:rFonts w:ascii="Times New Roman" w:hAnsi="Times New Roman" w:eastAsia="仿宋_GB2312"/>
          <w:kern w:val="0"/>
          <w:sz w:val="28"/>
          <w:szCs w:val="28"/>
        </w:rPr>
        <w:t>线以上集雨区域</w:t>
      </w:r>
      <w:r>
        <w:rPr>
          <w:rFonts w:hint="eastAsia" w:ascii="Times New Roman" w:hAnsi="Times New Roman" w:eastAsia="仿宋_GB2312"/>
          <w:kern w:val="0"/>
          <w:sz w:val="28"/>
          <w:szCs w:val="28"/>
        </w:rPr>
        <w:t>，其中水库西侧以杭州市行政区边界为界，面积0</w:t>
      </w:r>
      <w:r>
        <w:rPr>
          <w:rFonts w:ascii="Times New Roman" w:hAnsi="Times New Roman" w:eastAsia="仿宋_GB2312"/>
          <w:kern w:val="0"/>
          <w:sz w:val="28"/>
          <w:szCs w:val="28"/>
        </w:rPr>
        <w:t>.088km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岛石镇喷洞水库</w:t>
      </w:r>
      <w:r>
        <w:rPr>
          <w:rFonts w:ascii="Times New Roman" w:hAnsi="Times New Roman" w:eastAsia="仿宋_GB2312"/>
          <w:kern w:val="0"/>
          <w:sz w:val="28"/>
          <w:szCs w:val="28"/>
        </w:rPr>
        <w:t>饮用水水源保护区信息登记表见附表5。</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岛石镇喷洞水库</w:t>
      </w:r>
      <w:r>
        <w:rPr>
          <w:rFonts w:ascii="Times New Roman" w:hAnsi="Times New Roman" w:eastAsia="仿宋_GB2312"/>
          <w:kern w:val="0"/>
          <w:sz w:val="28"/>
          <w:szCs w:val="28"/>
        </w:rPr>
        <w:t>饮用水水源保护区划定方案见附图4。</w:t>
      </w:r>
    </w:p>
    <w:p>
      <w:pPr>
        <w:pStyle w:val="91"/>
        <w:spacing w:before="0" w:after="0" w:line="580" w:lineRule="exact"/>
        <w:ind w:left="0" w:leftChars="0" w:firstLine="562" w:firstLineChars="200"/>
        <w:rPr>
          <w:rFonts w:eastAsia="仿宋_GB2312"/>
          <w:color w:val="auto"/>
        </w:rPr>
      </w:pPr>
      <w:bookmarkStart w:id="79" w:name="_Toc68612214"/>
      <w:r>
        <w:rPr>
          <w:rFonts w:eastAsia="仿宋_GB2312"/>
          <w:color w:val="auto"/>
        </w:rPr>
        <w:t>3.5.5 太湖源镇夏村水库</w:t>
      </w:r>
      <w:bookmarkEnd w:id="79"/>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太湖源镇夏村水库为小型水库，保护区按照水库型饮用水水源保护区的相关划分技术规范进行划分，划分方案如下：</w:t>
      </w:r>
    </w:p>
    <w:p>
      <w:pPr>
        <w:spacing w:line="580" w:lineRule="exact"/>
        <w:ind w:firstLine="560"/>
        <w:rPr>
          <w:rFonts w:ascii="Times New Roman" w:hAnsi="Times New Roman" w:eastAsia="仿宋_GB2312"/>
          <w:kern w:val="0"/>
          <w:sz w:val="28"/>
          <w:szCs w:val="28"/>
        </w:rPr>
      </w:pPr>
      <w:r>
        <w:rPr>
          <w:rFonts w:ascii="Times New Roman" w:hAnsi="Times New Roman" w:eastAsia="仿宋_GB2312"/>
          <w:snapToGrid w:val="0"/>
          <w:kern w:val="0"/>
          <w:sz w:val="28"/>
          <w:szCs w:val="28"/>
        </w:rPr>
        <w:t xml:space="preserve">保护区范围为夏村水库水域及龙门寺水库坝址以下区间集雨范围。保护区总面积为3.52 </w:t>
      </w:r>
      <w:r>
        <w:rPr>
          <w:rFonts w:ascii="Times New Roman" w:hAnsi="Times New Roman" w:eastAsia="仿宋_GB2312"/>
          <w:kern w:val="0"/>
          <w:sz w:val="28"/>
          <w:szCs w:val="28"/>
        </w:rPr>
        <w:t>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，取水口坐标为118°52'30"E</w:t>
      </w:r>
      <w:r>
        <w:rPr>
          <w:rFonts w:hint="eastAsia" w:ascii="Times New Roman" w:hAnsi="Times New Roman" w:eastAsia="仿宋_GB2312"/>
          <w:kern w:val="0"/>
          <w:sz w:val="28"/>
          <w:szCs w:val="28"/>
        </w:rPr>
        <w:t>，</w:t>
      </w:r>
      <w:r>
        <w:rPr>
          <w:rFonts w:ascii="Times New Roman" w:hAnsi="Times New Roman" w:eastAsia="仿宋_GB2312"/>
          <w:kern w:val="0"/>
          <w:sz w:val="28"/>
          <w:szCs w:val="28"/>
        </w:rPr>
        <w:t>30°17'11.76"N。</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一级保护区水域：</w:t>
      </w:r>
      <w:r>
        <w:rPr>
          <w:rFonts w:ascii="Times New Roman" w:hAnsi="Times New Roman" w:eastAsia="仿宋_GB2312"/>
          <w:snapToGrid w:val="0"/>
          <w:kern w:val="0"/>
          <w:sz w:val="28"/>
          <w:szCs w:val="28"/>
        </w:rPr>
        <w:t>水库多年平均水位线对应的高程线</w:t>
      </w:r>
      <w:r>
        <w:rPr>
          <w:rFonts w:hint="eastAsia" w:ascii="Times New Roman" w:hAnsi="Times New Roman" w:eastAsia="仿宋_GB2312"/>
          <w:snapToGrid w:val="0"/>
          <w:kern w:val="0"/>
          <w:sz w:val="28"/>
          <w:szCs w:val="28"/>
        </w:rPr>
        <w:t>（2</w:t>
      </w:r>
      <w:r>
        <w:rPr>
          <w:rFonts w:ascii="Times New Roman" w:hAnsi="Times New Roman" w:eastAsia="仿宋_GB2312"/>
          <w:snapToGrid w:val="0"/>
          <w:kern w:val="0"/>
          <w:sz w:val="28"/>
          <w:szCs w:val="28"/>
        </w:rPr>
        <w:t>60m</w:t>
      </w:r>
      <w:r>
        <w:rPr>
          <w:rFonts w:hint="eastAsia" w:ascii="Times New Roman" w:hAnsi="Times New Roman" w:eastAsia="仿宋_GB2312"/>
          <w:snapToGrid w:val="0"/>
          <w:kern w:val="0"/>
          <w:sz w:val="28"/>
          <w:szCs w:val="28"/>
        </w:rPr>
        <w:t>）以下</w:t>
      </w:r>
      <w:r>
        <w:rPr>
          <w:rFonts w:ascii="Times New Roman" w:hAnsi="Times New Roman" w:eastAsia="仿宋_GB2312"/>
          <w:snapToGrid w:val="0"/>
          <w:kern w:val="0"/>
          <w:sz w:val="28"/>
          <w:szCs w:val="28"/>
        </w:rPr>
        <w:t>的全部水域，面积0.060</w:t>
      </w:r>
      <w:r>
        <w:rPr>
          <w:rFonts w:ascii="Times New Roman" w:hAnsi="Times New Roman" w:eastAsia="仿宋_GB2312"/>
          <w:kern w:val="0"/>
          <w:sz w:val="28"/>
          <w:szCs w:val="28"/>
        </w:rPr>
        <w:t xml:space="preserve">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一级保护区陆域：一级保护区水域外200m范围内陆域，</w:t>
      </w:r>
      <w:r>
        <w:rPr>
          <w:rFonts w:hint="eastAsia" w:ascii="Times New Roman" w:hAnsi="Times New Roman" w:eastAsia="仿宋_GB2312"/>
          <w:kern w:val="0"/>
          <w:sz w:val="28"/>
          <w:szCs w:val="28"/>
        </w:rPr>
        <w:t>2</w:t>
      </w:r>
      <w:r>
        <w:rPr>
          <w:rFonts w:ascii="Times New Roman" w:hAnsi="Times New Roman" w:eastAsia="仿宋_GB2312"/>
          <w:kern w:val="0"/>
          <w:sz w:val="28"/>
          <w:szCs w:val="28"/>
        </w:rPr>
        <w:t>00m</w:t>
      </w:r>
      <w:r>
        <w:rPr>
          <w:rFonts w:hint="eastAsia" w:ascii="Times New Roman" w:hAnsi="Times New Roman" w:eastAsia="仿宋_GB2312"/>
          <w:kern w:val="0"/>
          <w:sz w:val="28"/>
          <w:szCs w:val="28"/>
        </w:rPr>
        <w:t>范围内存在道路（众潘线）的以道路为界，</w:t>
      </w:r>
      <w:r>
        <w:rPr>
          <w:rFonts w:ascii="Times New Roman" w:hAnsi="Times New Roman" w:eastAsia="仿宋_GB2312"/>
          <w:kern w:val="0"/>
          <w:sz w:val="28"/>
          <w:szCs w:val="28"/>
        </w:rPr>
        <w:t>不超过分水岭，面积0.1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二级保护区陆域：上游</w:t>
      </w:r>
      <w:r>
        <w:rPr>
          <w:rFonts w:ascii="Times New Roman" w:hAnsi="Times New Roman" w:eastAsia="仿宋_GB2312"/>
          <w:snapToGrid w:val="0"/>
          <w:kern w:val="0"/>
          <w:sz w:val="28"/>
          <w:szCs w:val="28"/>
        </w:rPr>
        <w:t>流域</w:t>
      </w:r>
      <w:r>
        <w:rPr>
          <w:rFonts w:ascii="Times New Roman" w:hAnsi="Times New Roman" w:eastAsia="仿宋_GB2312"/>
          <w:kern w:val="0"/>
          <w:sz w:val="28"/>
          <w:szCs w:val="28"/>
        </w:rPr>
        <w:t>至龙门寺水库坝址处</w:t>
      </w:r>
      <w:r>
        <w:rPr>
          <w:rFonts w:hint="eastAsia" w:ascii="Times New Roman" w:hAnsi="Times New Roman" w:eastAsia="仿宋_GB2312"/>
          <w:kern w:val="0"/>
          <w:sz w:val="28"/>
          <w:szCs w:val="28"/>
        </w:rPr>
        <w:t>区间集雨范围</w:t>
      </w:r>
      <w:r>
        <w:rPr>
          <w:rFonts w:ascii="Times New Roman" w:hAnsi="Times New Roman" w:eastAsia="仿宋_GB2312"/>
          <w:kern w:val="0"/>
          <w:sz w:val="28"/>
          <w:szCs w:val="28"/>
        </w:rPr>
        <w:t>（一级保护区外区域），面积3.36 km</w:t>
      </w:r>
      <w:r>
        <w:rPr>
          <w:rFonts w:ascii="Times New Roman" w:hAnsi="Times New Roman" w:eastAsia="仿宋_GB2312"/>
          <w:kern w:val="0"/>
          <w:sz w:val="28"/>
          <w:szCs w:val="28"/>
          <w:vertAlign w:val="superscript"/>
        </w:rPr>
        <w:t>2</w:t>
      </w:r>
      <w:r>
        <w:rPr>
          <w:rFonts w:ascii="Times New Roman" w:hAnsi="Times New Roman" w:eastAsia="仿宋_GB2312"/>
          <w:kern w:val="0"/>
          <w:sz w:val="28"/>
          <w:szCs w:val="28"/>
        </w:rPr>
        <w:t>。</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太湖源镇夏村水库</w:t>
      </w:r>
      <w:r>
        <w:rPr>
          <w:rFonts w:ascii="Times New Roman" w:hAnsi="Times New Roman" w:eastAsia="仿宋_GB2312"/>
          <w:kern w:val="0"/>
          <w:sz w:val="28"/>
          <w:szCs w:val="28"/>
        </w:rPr>
        <w:t>饮用水水源保护区信息登记表见附表6。</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snapToGrid w:val="0"/>
          <w:kern w:val="0"/>
          <w:sz w:val="28"/>
          <w:szCs w:val="28"/>
        </w:rPr>
        <w:t>太湖源镇夏村</w:t>
      </w:r>
      <w:r>
        <w:rPr>
          <w:rFonts w:ascii="Times New Roman" w:hAnsi="Times New Roman" w:eastAsia="仿宋_GB2312"/>
          <w:kern w:val="0"/>
          <w:sz w:val="28"/>
          <w:szCs w:val="28"/>
        </w:rPr>
        <w:t>饮用水水源保护区划定方案见附图5。</w:t>
      </w:r>
    </w:p>
    <w:bookmarkEnd w:id="72"/>
    <w:bookmarkEnd w:id="73"/>
    <w:p>
      <w:pPr>
        <w:pStyle w:val="3"/>
        <w:spacing w:before="120" w:beforeLines="50" w:afterLines="50" w:line="580" w:lineRule="exact"/>
        <w:rPr>
          <w:rFonts w:ascii="Times New Roman" w:hAnsi="Times New Roman" w:eastAsia="仿宋_GB2312"/>
        </w:rPr>
      </w:pPr>
      <w:bookmarkStart w:id="80" w:name="_Toc68612215"/>
      <w:bookmarkStart w:id="81" w:name="_Toc65568810"/>
      <w:r>
        <w:rPr>
          <w:rFonts w:ascii="Times New Roman" w:hAnsi="Times New Roman" w:eastAsia="仿宋_GB2312"/>
        </w:rPr>
        <w:t>3.6技术规范符合性分析</w:t>
      </w:r>
      <w:bookmarkEnd w:id="80"/>
      <w:bookmarkEnd w:id="81"/>
    </w:p>
    <w:p>
      <w:pPr>
        <w:spacing w:line="580" w:lineRule="exact"/>
        <w:ind w:firstLine="560"/>
        <w:rPr>
          <w:rFonts w:ascii="Times New Roman" w:hAnsi="Times New Roman" w:eastAsia="仿宋_GB2312"/>
          <w:snapToGrid w:val="0"/>
          <w:kern w:val="0"/>
          <w:sz w:val="28"/>
          <w:szCs w:val="28"/>
        </w:rPr>
      </w:pPr>
      <w:bookmarkStart w:id="82" w:name="_Toc241574830"/>
      <w:bookmarkStart w:id="83" w:name="_Toc287979110"/>
      <w:r>
        <w:rPr>
          <w:rFonts w:ascii="Times New Roman" w:hAnsi="Times New Roman" w:eastAsia="仿宋_GB2312"/>
          <w:kern w:val="0"/>
          <w:sz w:val="28"/>
          <w:szCs w:val="28"/>
        </w:rPr>
        <w:t>依据</w:t>
      </w:r>
      <w:r>
        <w:rPr>
          <w:rFonts w:ascii="Times New Roman" w:hAnsi="Times New Roman" w:eastAsia="仿宋_GB2312"/>
          <w:snapToGrid w:val="0"/>
          <w:kern w:val="0"/>
          <w:sz w:val="28"/>
          <w:szCs w:val="28"/>
        </w:rPr>
        <w:t>《关于进一步加强我省集中式饮用水水源地生态环境保护工作的通知》（浙环函〔2020〕89号）要求，日供水规模大于1000吨或服务人口大于10000人的饮用水水源，其保护区范围划定具体参照《饮用水水源保护区划分技术规范》（HJ/T338-2018）、《关于推进乡镇及以下集中式饮用水水源地生态环境保护工作的指导意见》（环水体函〔2019〕92号)</w:t>
      </w:r>
      <w:r>
        <w:rPr>
          <w:rFonts w:hint="eastAsia" w:ascii="Times New Roman" w:hAnsi="Times New Roman" w:eastAsia="仿宋_GB2312"/>
          <w:snapToGrid w:val="0"/>
          <w:kern w:val="0"/>
          <w:sz w:val="28"/>
          <w:szCs w:val="28"/>
        </w:rPr>
        <w:t>等文件</w:t>
      </w:r>
      <w:r>
        <w:rPr>
          <w:rFonts w:ascii="Times New Roman" w:hAnsi="Times New Roman" w:eastAsia="仿宋_GB2312"/>
          <w:snapToGrid w:val="0"/>
          <w:kern w:val="0"/>
          <w:sz w:val="28"/>
          <w:szCs w:val="28"/>
        </w:rPr>
        <w:t>。</w:t>
      </w:r>
    </w:p>
    <w:p>
      <w:pPr>
        <w:pStyle w:val="91"/>
        <w:spacing w:before="0" w:after="0" w:line="580" w:lineRule="exact"/>
        <w:ind w:left="0" w:leftChars="0" w:firstLine="562" w:firstLineChars="200"/>
        <w:rPr>
          <w:rFonts w:eastAsia="仿宋_GB2312"/>
          <w:color w:val="auto"/>
        </w:rPr>
      </w:pPr>
      <w:bookmarkStart w:id="84" w:name="_Toc59453445"/>
      <w:bookmarkStart w:id="85" w:name="_Toc68612216"/>
      <w:r>
        <w:rPr>
          <w:rFonts w:eastAsia="仿宋_GB2312"/>
          <w:color w:val="auto"/>
        </w:rPr>
        <w:t>3.6.1饮用水水源保护区划分的技术方法符合性分析</w:t>
      </w:r>
      <w:bookmarkEnd w:id="84"/>
      <w:bookmarkEnd w:id="85"/>
    </w:p>
    <w:p>
      <w:pPr>
        <w:spacing w:line="580" w:lineRule="exact"/>
        <w:ind w:firstLine="562"/>
        <w:rPr>
          <w:rFonts w:ascii="Times New Roman" w:hAnsi="Times New Roman" w:eastAsia="仿宋_GB2312"/>
          <w:sz w:val="28"/>
          <w:szCs w:val="28"/>
        </w:rPr>
      </w:pPr>
      <w:r>
        <w:rPr>
          <w:rFonts w:ascii="Times New Roman" w:hAnsi="Times New Roman" w:eastAsia="仿宋_GB2312"/>
          <w:b/>
          <w:bCs/>
          <w:sz w:val="28"/>
          <w:szCs w:val="28"/>
        </w:rPr>
        <w:t>地表水饮用水水源保护区划分方法</w:t>
      </w:r>
      <w:r>
        <w:rPr>
          <w:rFonts w:hint="eastAsia" w:ascii="Times New Roman" w:hAnsi="Times New Roman" w:eastAsia="仿宋_GB2312"/>
          <w:b/>
          <w:bCs/>
          <w:sz w:val="28"/>
          <w:szCs w:val="28"/>
        </w:rPr>
        <w:t>：</w:t>
      </w:r>
      <w:r>
        <w:rPr>
          <w:rFonts w:ascii="Times New Roman" w:hAnsi="Times New Roman" w:eastAsia="仿宋_GB2312"/>
          <w:sz w:val="28"/>
          <w:szCs w:val="28"/>
        </w:rPr>
        <w:t>根据《饮用水水源保护区划分技术规范》（HJ338—2018），水源保护区水域的划分有类比经验法、应急响应时间法、数值模型计算法3种方法。陆域的划分有类比经验法、地形边界法、缓冲区法3种方法。</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w:t>
      </w:r>
      <w:r>
        <w:rPr>
          <w:rFonts w:hint="eastAsia" w:ascii="Times New Roman" w:hAnsi="Times New Roman" w:eastAsia="仿宋_GB2312"/>
          <w:sz w:val="28"/>
          <w:szCs w:val="28"/>
        </w:rPr>
        <w:t>、</w:t>
      </w:r>
      <w:r>
        <w:rPr>
          <w:rFonts w:ascii="Times New Roman" w:hAnsi="Times New Roman" w:eastAsia="仿宋_GB2312"/>
          <w:sz w:val="28"/>
          <w:szCs w:val="28"/>
        </w:rPr>
        <w:t>保护区水域划分方法</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类比经验法</w:t>
      </w:r>
      <w:r>
        <w:rPr>
          <w:rFonts w:ascii="Times New Roman" w:hAnsi="Times New Roman" w:eastAsia="仿宋_GB2312"/>
          <w:sz w:val="28"/>
          <w:szCs w:val="28"/>
        </w:rPr>
        <w:t>是按照相关法规、文件规定、依据统计结果和管理者的实践经验，确定保护区</w:t>
      </w:r>
      <w:r>
        <w:rPr>
          <w:rFonts w:ascii="Times New Roman" w:hAnsi="Times New Roman" w:eastAsia="仿宋_GB2312"/>
          <w:snapToGrid w:val="0"/>
          <w:kern w:val="0"/>
          <w:sz w:val="28"/>
          <w:szCs w:val="28"/>
        </w:rPr>
        <w:t>范围</w:t>
      </w:r>
      <w:r>
        <w:rPr>
          <w:rFonts w:ascii="Times New Roman" w:hAnsi="Times New Roman" w:eastAsia="仿宋_GB2312"/>
          <w:sz w:val="28"/>
          <w:szCs w:val="28"/>
        </w:rPr>
        <w:t>的一种方法。适用于水源地现状水质达标、主要污染类型为面源污染，且上游24小时流程时间内无重大风险源。</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应急响应时间法</w:t>
      </w:r>
      <w:r>
        <w:rPr>
          <w:rFonts w:ascii="Times New Roman" w:hAnsi="Times New Roman" w:eastAsia="仿宋_GB2312"/>
          <w:sz w:val="28"/>
          <w:szCs w:val="28"/>
        </w:rPr>
        <w:t>是以应急</w:t>
      </w:r>
      <w:r>
        <w:rPr>
          <w:rFonts w:ascii="Times New Roman" w:hAnsi="Times New Roman" w:eastAsia="仿宋_GB2312"/>
          <w:snapToGrid w:val="0"/>
          <w:kern w:val="0"/>
          <w:sz w:val="28"/>
          <w:szCs w:val="28"/>
        </w:rPr>
        <w:t>响应时间</w:t>
      </w:r>
      <w:r>
        <w:rPr>
          <w:rFonts w:ascii="Times New Roman" w:hAnsi="Times New Roman" w:eastAsia="仿宋_GB2312"/>
          <w:sz w:val="28"/>
          <w:szCs w:val="28"/>
        </w:rPr>
        <w:t>内，污染物到取水口流程距离作为保护区的长度的一种计算方法。当饮用水水源上游点源分布较为密集或主要污染物为难降解的重金属或有毒有机物时，应采用应急响应时间法。</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数值模型计算法</w:t>
      </w:r>
      <w:r>
        <w:rPr>
          <w:rFonts w:ascii="Times New Roman" w:hAnsi="Times New Roman" w:eastAsia="仿宋_GB2312"/>
          <w:sz w:val="28"/>
          <w:szCs w:val="28"/>
        </w:rPr>
        <w:t>是以主要污染物浓度衰减到目标水质所需要的距离确定保护区范围的一种方法。适用于上游污染源以城镇生活、面源为主，且主要污染物属于难降解物质。</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w:t>
      </w:r>
      <w:r>
        <w:rPr>
          <w:rFonts w:hint="eastAsia" w:ascii="Times New Roman" w:hAnsi="Times New Roman" w:eastAsia="仿宋_GB2312"/>
          <w:sz w:val="28"/>
          <w:szCs w:val="28"/>
        </w:rPr>
        <w:t>、</w:t>
      </w:r>
      <w:r>
        <w:rPr>
          <w:rFonts w:ascii="Times New Roman" w:hAnsi="Times New Roman" w:eastAsia="仿宋_GB2312"/>
          <w:sz w:val="28"/>
          <w:szCs w:val="28"/>
        </w:rPr>
        <w:t>保护区陆域划分方法</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类比经验法</w:t>
      </w:r>
      <w:r>
        <w:rPr>
          <w:rFonts w:ascii="Times New Roman" w:hAnsi="Times New Roman" w:eastAsia="仿宋_GB2312"/>
          <w:sz w:val="28"/>
          <w:szCs w:val="28"/>
        </w:rPr>
        <w:t>是按照相关法规、文件规定、依据统计结果和管理者的实践经验，确定保护区范围的一种方法。适用于水源地现状水质达标、主要污染类型为面源污染，且上游24小时流程时间内无重大风险源。</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地形边界法</w:t>
      </w:r>
      <w:r>
        <w:rPr>
          <w:rFonts w:ascii="Times New Roman" w:hAnsi="Times New Roman" w:eastAsia="仿宋_GB2312"/>
          <w:sz w:val="28"/>
          <w:szCs w:val="28"/>
        </w:rPr>
        <w:t>是以饮用水水源周边的山脊线或分水岭作为各级保护区边界的方法。适用于周边</w:t>
      </w:r>
      <w:r>
        <w:rPr>
          <w:rFonts w:ascii="Times New Roman" w:hAnsi="Times New Roman" w:eastAsia="仿宋_GB2312"/>
          <w:snapToGrid w:val="0"/>
          <w:kern w:val="0"/>
          <w:sz w:val="28"/>
          <w:szCs w:val="28"/>
        </w:rPr>
        <w:t>土地开发</w:t>
      </w:r>
      <w:r>
        <w:rPr>
          <w:rFonts w:ascii="Times New Roman" w:hAnsi="Times New Roman" w:eastAsia="仿宋_GB2312"/>
          <w:sz w:val="28"/>
          <w:szCs w:val="28"/>
        </w:rPr>
        <w:t>利用程度较低的地表水水源地。</w:t>
      </w:r>
    </w:p>
    <w:p>
      <w:pPr>
        <w:spacing w:line="580" w:lineRule="exact"/>
        <w:ind w:firstLine="560"/>
        <w:rPr>
          <w:rFonts w:ascii="Times New Roman" w:hAnsi="Times New Roman" w:eastAsia="仿宋_GB2312"/>
          <w:sz w:val="28"/>
          <w:szCs w:val="28"/>
        </w:rPr>
      </w:pPr>
      <w:r>
        <w:rPr>
          <w:rFonts w:ascii="Times New Roman" w:hAnsi="Times New Roman" w:eastAsia="仿宋_GB2312"/>
          <w:bCs/>
          <w:sz w:val="28"/>
          <w:szCs w:val="28"/>
        </w:rPr>
        <w:t>缓冲区法是划</w:t>
      </w:r>
      <w:r>
        <w:rPr>
          <w:rFonts w:ascii="Times New Roman" w:hAnsi="Times New Roman" w:eastAsia="仿宋_GB2312"/>
          <w:sz w:val="28"/>
          <w:szCs w:val="28"/>
        </w:rPr>
        <w:t>定一定范围的陆域，通过土壤渗透作用拦截地表径流携带的污染物，降低地表径流污染对饮用水水源的不利影响，从而确定保护区边界的方法。需要考虑地形地貌、土地利用、受保护水体大小以及设置缓冲区的合法性等。</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根据以上技术方法及适用条件，结合华光潭一级水库、居仁水库、江岭水库、喷洞水库、夏村水库周边区域现状，环境状况良好，无重大风险源，因此饮用水水源保护区采用类比经验法划定是符合规范的。</w:t>
      </w:r>
    </w:p>
    <w:p>
      <w:pPr>
        <w:pStyle w:val="91"/>
        <w:spacing w:before="0" w:after="0" w:line="580" w:lineRule="exact"/>
        <w:ind w:left="0" w:leftChars="0" w:firstLine="562" w:firstLineChars="200"/>
        <w:rPr>
          <w:rFonts w:eastAsia="仿宋_GB2312"/>
          <w:color w:val="auto"/>
        </w:rPr>
      </w:pPr>
      <w:bookmarkStart w:id="86" w:name="_Toc59453446"/>
      <w:bookmarkStart w:id="87" w:name="_Toc68612217"/>
      <w:r>
        <w:rPr>
          <w:rFonts w:eastAsia="仿宋_GB2312"/>
          <w:color w:val="auto"/>
        </w:rPr>
        <w:t>3.6.2饮用水水源保护区的划分符合性分析</w:t>
      </w:r>
      <w:bookmarkEnd w:id="86"/>
      <w:bookmarkEnd w:id="87"/>
    </w:p>
    <w:p>
      <w:pPr>
        <w:spacing w:line="580" w:lineRule="exact"/>
        <w:ind w:firstLine="562"/>
        <w:rPr>
          <w:rFonts w:ascii="Times New Roman" w:hAnsi="Times New Roman" w:eastAsia="仿宋_GB2312"/>
          <w:b/>
          <w:bCs/>
          <w:sz w:val="28"/>
          <w:szCs w:val="28"/>
        </w:rPr>
      </w:pPr>
      <w:r>
        <w:rPr>
          <w:rFonts w:ascii="Times New Roman" w:hAnsi="Times New Roman" w:eastAsia="仿宋_GB2312"/>
          <w:b/>
          <w:bCs/>
          <w:sz w:val="28"/>
          <w:szCs w:val="28"/>
        </w:rPr>
        <w:t>1</w:t>
      </w:r>
      <w:r>
        <w:rPr>
          <w:rFonts w:hint="eastAsia" w:ascii="Times New Roman" w:hAnsi="Times New Roman" w:eastAsia="仿宋_GB2312"/>
          <w:b/>
          <w:bCs/>
          <w:sz w:val="28"/>
          <w:szCs w:val="28"/>
        </w:rPr>
        <w:t>、华光潭一级水库</w:t>
      </w:r>
    </w:p>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kern w:val="0"/>
          <w:sz w:val="28"/>
          <w:szCs w:val="28"/>
        </w:rPr>
        <w:t>本次华光潭一级水库饮用水水源保护区主要参照《</w:t>
      </w:r>
      <w:r>
        <w:rPr>
          <w:rFonts w:ascii="Times New Roman" w:hAnsi="Times New Roman" w:eastAsia="仿宋_GB2312"/>
          <w:sz w:val="28"/>
          <w:szCs w:val="28"/>
        </w:rPr>
        <w:t>饮用水水源保护区划分技术规范》（HJ 338-2018）</w:t>
      </w:r>
      <w:r>
        <w:rPr>
          <w:rFonts w:hint="eastAsia" w:ascii="Times New Roman" w:hAnsi="Times New Roman" w:eastAsia="仿宋_GB2312"/>
          <w:sz w:val="28"/>
          <w:szCs w:val="28"/>
        </w:rPr>
        <w:t>中河流型水源地进行划分。根据本章3</w:t>
      </w:r>
      <w:r>
        <w:rPr>
          <w:rFonts w:ascii="Times New Roman" w:hAnsi="Times New Roman" w:eastAsia="仿宋_GB2312"/>
          <w:sz w:val="28"/>
          <w:szCs w:val="28"/>
        </w:rPr>
        <w:t>.2.3</w:t>
      </w:r>
      <w:r>
        <w:rPr>
          <w:rFonts w:hint="eastAsia" w:ascii="Times New Roman" w:hAnsi="Times New Roman" w:eastAsia="仿宋_GB2312"/>
          <w:sz w:val="28"/>
          <w:szCs w:val="28"/>
        </w:rPr>
        <w:t>节所述，华光潭一级水库属于河道型水库，具有明显的河流特征，其中</w:t>
      </w:r>
      <w:r>
        <w:rPr>
          <w:rFonts w:hint="eastAsia" w:ascii="Times New Roman" w:hAnsi="Times New Roman" w:eastAsia="仿宋_GB2312"/>
          <w:kern w:val="0"/>
          <w:sz w:val="28"/>
          <w:szCs w:val="28"/>
        </w:rPr>
        <w:t>华光潭一级水库上游水质良好，符合《地表水质量标准》（GB3838-2002）中二类水质标准限值，水库北侧陆域范围道路已规划建设导流沟、应急池、防撞护栏等保护措施</w:t>
      </w:r>
      <w:bookmarkStart w:id="88" w:name="_Hlk66827001"/>
      <w:r>
        <w:rPr>
          <w:rFonts w:hint="eastAsia" w:ascii="Times New Roman" w:hAnsi="Times New Roman" w:eastAsia="仿宋_GB2312"/>
          <w:kern w:val="0"/>
          <w:sz w:val="28"/>
          <w:szCs w:val="28"/>
        </w:rPr>
        <w:t>，在严格做好防护隔离的情况下，可避免人为活动进入饮用水水源一级保护区内部，可保证取水水质达到规定要求。以上保护措施，符合《饮用水水源保护区划分技术规范》</w:t>
      </w:r>
      <w:r>
        <w:rPr>
          <w:rFonts w:ascii="Times New Roman" w:hAnsi="Times New Roman" w:eastAsia="仿宋_GB2312"/>
          <w:sz w:val="28"/>
          <w:szCs w:val="28"/>
        </w:rPr>
        <w:t>（HJ 338-2018）</w:t>
      </w:r>
      <w:r>
        <w:rPr>
          <w:rFonts w:hint="eastAsia" w:ascii="Times New Roman" w:hAnsi="Times New Roman" w:eastAsia="仿宋_GB2312"/>
          <w:kern w:val="0"/>
          <w:sz w:val="28"/>
          <w:szCs w:val="28"/>
        </w:rPr>
        <w:t>中，划定的水源保护区范围一旦出现污染水的突发事件，有采取紧急补救措施的时间和缓冲地带，以确保饮用水水源水质不受污染为前提，以便于实施环境管理为原则的要求。</w:t>
      </w:r>
    </w:p>
    <w:bookmarkEnd w:id="88"/>
    <w:p>
      <w:pPr>
        <w:spacing w:line="580" w:lineRule="exact"/>
        <w:ind w:firstLine="560"/>
        <w:rPr>
          <w:rFonts w:ascii="Times New Roman" w:hAnsi="Times New Roman" w:eastAsia="仿宋_GB2312"/>
          <w:kern w:val="0"/>
          <w:sz w:val="28"/>
          <w:szCs w:val="28"/>
        </w:rPr>
      </w:pPr>
      <w:r>
        <w:rPr>
          <w:rFonts w:hint="eastAsia" w:ascii="Times New Roman" w:hAnsi="Times New Roman" w:eastAsia="仿宋_GB2312"/>
          <w:kern w:val="0"/>
          <w:sz w:val="28"/>
          <w:szCs w:val="28"/>
        </w:rPr>
        <w:t>综上所述，</w:t>
      </w:r>
      <w:bookmarkStart w:id="89" w:name="_Hlk66827034"/>
      <w:r>
        <w:rPr>
          <w:rFonts w:hint="eastAsia" w:ascii="Times New Roman" w:hAnsi="Times New Roman" w:eastAsia="仿宋_GB2312"/>
          <w:kern w:val="0"/>
          <w:sz w:val="28"/>
          <w:szCs w:val="28"/>
        </w:rPr>
        <w:t>本次</w:t>
      </w:r>
      <w:r>
        <w:rPr>
          <w:rFonts w:hint="eastAsia" w:ascii="Times New Roman" w:hAnsi="Times New Roman" w:eastAsia="仿宋_GB2312"/>
          <w:sz w:val="28"/>
          <w:szCs w:val="28"/>
        </w:rPr>
        <w:t>龙岗镇</w:t>
      </w:r>
      <w:r>
        <w:rPr>
          <w:rFonts w:hint="eastAsia" w:ascii="Times New Roman" w:hAnsi="Times New Roman" w:eastAsia="仿宋_GB2312"/>
          <w:kern w:val="0"/>
          <w:sz w:val="28"/>
          <w:szCs w:val="28"/>
        </w:rPr>
        <w:t>华光潭一级水库</w:t>
      </w:r>
      <w:r>
        <w:rPr>
          <w:rFonts w:ascii="Times New Roman" w:hAnsi="Times New Roman" w:eastAsia="仿宋_GB2312"/>
          <w:kern w:val="0"/>
          <w:sz w:val="28"/>
          <w:szCs w:val="28"/>
        </w:rPr>
        <w:t>饮用水水源保护区划定范围符合技术规范要求。</w:t>
      </w:r>
    </w:p>
    <w:bookmarkEnd w:id="89"/>
    <w:p>
      <w:pPr>
        <w:snapToGrid w:val="0"/>
        <w:spacing w:line="360" w:lineRule="auto"/>
        <w:ind w:firstLine="562"/>
        <w:rPr>
          <w:rFonts w:ascii="Times New Roman" w:hAnsi="Times New Roman" w:eastAsia="仿宋_GB2312"/>
          <w:b/>
          <w:bCs/>
          <w:kern w:val="0"/>
          <w:sz w:val="28"/>
          <w:szCs w:val="28"/>
        </w:rPr>
      </w:pPr>
      <w:r>
        <w:rPr>
          <w:rFonts w:hint="eastAsia" w:ascii="Times New Roman" w:hAnsi="Times New Roman" w:eastAsia="仿宋_GB2312"/>
          <w:b/>
          <w:bCs/>
          <w:kern w:val="0"/>
          <w:sz w:val="28"/>
          <w:szCs w:val="28"/>
        </w:rPr>
        <w:t>2、板桥镇居仁水库、河桥镇江岭水库、岛石镇喷洞水库、太湖源镇夏村水库</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kern w:val="0"/>
          <w:sz w:val="28"/>
          <w:szCs w:val="28"/>
        </w:rPr>
        <w:t>板桥镇居仁水库、河桥镇江岭水库、岛石镇喷洞水库、太湖源镇夏村水库等4个水库均属于小型水库，本次划分严格按照《</w:t>
      </w:r>
      <w:r>
        <w:rPr>
          <w:rFonts w:ascii="Times New Roman" w:hAnsi="Times New Roman" w:eastAsia="仿宋_GB2312"/>
          <w:sz w:val="28"/>
          <w:szCs w:val="28"/>
        </w:rPr>
        <w:t>饮用水水源保护区划分技术规范》（HJ 338-2018）</w:t>
      </w:r>
      <w:r>
        <w:rPr>
          <w:rFonts w:hint="eastAsia" w:ascii="Times New Roman" w:hAnsi="Times New Roman" w:eastAsia="仿宋_GB2312"/>
          <w:sz w:val="28"/>
          <w:szCs w:val="28"/>
        </w:rPr>
        <w:t>中小型水库饮用水水源保护区划分方法。其中江岭水库北侧河白线、夏村水库众潘线等道路已规划建设隔离护栏、导流沟、防撞护栏等保护设施，在严格做好防护隔离的情况下，可避免人为活动进入饮用水水源一级保护区内部，可保证取水水质达到规定要求。综上所述，本次板桥镇居仁水库、河桥镇江岭水库、岛石镇喷洞水库、太湖源镇夏村水库等水库饮用水水源保护区划定范围符合技术规范要求。</w:t>
      </w:r>
    </w:p>
    <w:p>
      <w:pPr>
        <w:spacing w:line="580" w:lineRule="exact"/>
        <w:ind w:firstLine="560"/>
        <w:rPr>
          <w:rFonts w:ascii="Times New Roman" w:hAnsi="Times New Roman" w:eastAsia="仿宋_GB2312"/>
          <w:sz w:val="28"/>
          <w:szCs w:val="28"/>
        </w:rPr>
      </w:pPr>
    </w:p>
    <w:p>
      <w:pPr>
        <w:spacing w:line="360" w:lineRule="auto"/>
        <w:ind w:firstLine="560"/>
        <w:rPr>
          <w:rFonts w:ascii="Times New Roman" w:hAnsi="Times New Roman" w:eastAsia="仿宋_GB2312"/>
          <w:sz w:val="28"/>
          <w:szCs w:val="28"/>
        </w:rPr>
        <w:sectPr>
          <w:pgSz w:w="11906" w:h="16838"/>
          <w:pgMar w:top="1440" w:right="1797" w:bottom="1440" w:left="1797" w:header="851" w:footer="992" w:gutter="0"/>
          <w:cols w:space="720" w:num="1"/>
          <w:docGrid w:linePitch="326" w:charSpace="0"/>
        </w:sectPr>
      </w:pPr>
    </w:p>
    <w:bookmarkEnd w:id="82"/>
    <w:bookmarkEnd w:id="83"/>
    <w:p>
      <w:pPr>
        <w:pStyle w:val="96"/>
        <w:spacing w:beforeLines="50" w:after="120"/>
        <w:jc w:val="center"/>
        <w:rPr>
          <w:rFonts w:eastAsia="仿宋_GB2312"/>
        </w:rPr>
      </w:pPr>
      <w:bookmarkStart w:id="90" w:name="_Toc65568811"/>
      <w:bookmarkStart w:id="91" w:name="_Toc68612218"/>
      <w:r>
        <w:rPr>
          <w:rFonts w:eastAsia="仿宋_GB2312"/>
        </w:rPr>
        <w:t>第四章  环境保护措施及管理建议</w:t>
      </w:r>
      <w:bookmarkEnd w:id="90"/>
      <w:bookmarkEnd w:id="91"/>
    </w:p>
    <w:p>
      <w:pPr>
        <w:pStyle w:val="3"/>
        <w:spacing w:before="120" w:beforeLines="50" w:afterLines="50" w:line="580" w:lineRule="exact"/>
        <w:rPr>
          <w:rFonts w:ascii="Times New Roman" w:hAnsi="Times New Roman" w:eastAsia="仿宋_GB2312"/>
        </w:rPr>
      </w:pPr>
      <w:bookmarkStart w:id="92" w:name="_Toc65568817"/>
      <w:bookmarkStart w:id="93" w:name="_Toc68612219"/>
      <w:bookmarkStart w:id="94" w:name="_Toc65568812"/>
      <w:r>
        <w:rPr>
          <w:rFonts w:ascii="Times New Roman" w:hAnsi="Times New Roman" w:eastAsia="仿宋_GB2312"/>
        </w:rPr>
        <w:t>4.</w:t>
      </w:r>
      <w:bookmarkEnd w:id="92"/>
      <w:r>
        <w:rPr>
          <w:rFonts w:ascii="Times New Roman" w:hAnsi="Times New Roman" w:eastAsia="仿宋_GB2312"/>
        </w:rPr>
        <w:t>1</w:t>
      </w:r>
      <w:r>
        <w:rPr>
          <w:rFonts w:hint="eastAsia" w:ascii="Times New Roman" w:hAnsi="Times New Roman" w:eastAsia="仿宋_GB2312"/>
        </w:rPr>
        <w:t>严格落实环境保护要求</w:t>
      </w:r>
      <w:bookmarkEnd w:id="93"/>
    </w:p>
    <w:p>
      <w:pPr>
        <w:pStyle w:val="91"/>
        <w:spacing w:before="0" w:after="0" w:line="580" w:lineRule="exact"/>
        <w:ind w:left="0" w:leftChars="0" w:firstLine="562" w:firstLineChars="200"/>
        <w:rPr>
          <w:rFonts w:eastAsia="仿宋_GB2312"/>
          <w:color w:val="auto"/>
        </w:rPr>
      </w:pPr>
      <w:bookmarkStart w:id="95" w:name="_Toc68612220"/>
      <w:r>
        <w:rPr>
          <w:rFonts w:eastAsia="仿宋_GB2312"/>
          <w:color w:val="auto"/>
        </w:rPr>
        <w:t>4.1.1严格落实饮用水水源保护区法律法规要求</w:t>
      </w:r>
      <w:bookmarkEnd w:id="95"/>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严格落实《中华人民共和国水污染防治法》（2018.01）以及省、市饮用水水源保护条例。以</w:t>
      </w:r>
      <w:r>
        <w:rPr>
          <w:rFonts w:ascii="Times New Roman" w:hAnsi="Times New Roman" w:eastAsia="仿宋_GB2312"/>
          <w:snapToGrid w:val="0"/>
          <w:kern w:val="0"/>
          <w:sz w:val="28"/>
          <w:szCs w:val="28"/>
        </w:rPr>
        <w:t>《集中式饮用水水源地环境保护规范化建设技术要求》</w:t>
      </w:r>
      <w:r>
        <w:rPr>
          <w:rFonts w:ascii="Times New Roman" w:hAnsi="Times New Roman" w:eastAsia="仿宋_GB2312"/>
          <w:sz w:val="28"/>
          <w:szCs w:val="28"/>
        </w:rPr>
        <w:t>(HJ773-2015)为指导，</w:t>
      </w:r>
      <w:r>
        <w:rPr>
          <w:rFonts w:ascii="Times New Roman" w:hAnsi="Times New Roman" w:eastAsia="仿宋_GB2312"/>
          <w:bCs/>
          <w:snapToGrid w:val="0"/>
          <w:kern w:val="0"/>
          <w:sz w:val="28"/>
          <w:szCs w:val="28"/>
        </w:rPr>
        <w:t>落实</w:t>
      </w:r>
      <w:r>
        <w:rPr>
          <w:rFonts w:ascii="Times New Roman" w:hAnsi="Times New Roman" w:eastAsia="仿宋_GB2312"/>
          <w:sz w:val="28"/>
          <w:szCs w:val="28"/>
        </w:rPr>
        <w:t>饮用水水源保护区管控要求。</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在饮用水水源保护区内，禁止设置排污口。一级保护区内不得存在与供水设施和保护水源无关的建设项目，保护区划定前已有的建设项目拆除或关闭，并视情进行生态修复。保护区内无工业、生活排污口。保护区内无畜禽养殖、网箱养殖、旅游、游泳、垂钓或者其他可能污染水源的活动。保护区划定前已有的</w:t>
      </w:r>
      <w:r>
        <w:rPr>
          <w:rFonts w:ascii="Times New Roman" w:hAnsi="Times New Roman" w:eastAsia="仿宋_GB2312"/>
          <w:snapToGrid w:val="0"/>
          <w:kern w:val="0"/>
          <w:sz w:val="28"/>
          <w:szCs w:val="28"/>
        </w:rPr>
        <w:t>畜禽</w:t>
      </w:r>
      <w:r>
        <w:rPr>
          <w:rFonts w:ascii="Times New Roman" w:hAnsi="Times New Roman" w:eastAsia="仿宋_GB2312"/>
          <w:sz w:val="28"/>
          <w:szCs w:val="28"/>
        </w:rPr>
        <w:t>养殖、网箱养殖和旅游设施拆除或关闭。不新增农业种植和经济林。保护区划定前已有的农业种植和经济林，严格控制化肥、农药等非点源污染，并逐步退出。</w:t>
      </w:r>
    </w:p>
    <w:p>
      <w:pPr>
        <w:pStyle w:val="91"/>
        <w:spacing w:before="0" w:after="0" w:line="580" w:lineRule="exact"/>
        <w:ind w:left="0" w:leftChars="0" w:firstLine="562" w:firstLineChars="200"/>
        <w:rPr>
          <w:rFonts w:eastAsia="仿宋_GB2312"/>
          <w:color w:val="auto"/>
        </w:rPr>
      </w:pPr>
      <w:bookmarkStart w:id="96" w:name="_Toc68612221"/>
      <w:r>
        <w:rPr>
          <w:rFonts w:eastAsia="仿宋_GB2312"/>
          <w:color w:val="auto"/>
        </w:rPr>
        <w:t>4.1.2严格遵守生态红线管控制度</w:t>
      </w:r>
      <w:bookmarkEnd w:id="96"/>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严格遵守生态红线管控要求，严格按照《饮用水水源保护区污染防治管理规定》、</w:t>
      </w:r>
      <w:r>
        <w:rPr>
          <w:rFonts w:ascii="Times New Roman" w:hAnsi="Times New Roman" w:eastAsia="仿宋_GB2312"/>
          <w:snapToGrid w:val="0"/>
          <w:kern w:val="0"/>
          <w:sz w:val="28"/>
          <w:szCs w:val="28"/>
        </w:rPr>
        <w:t>《浙江省饮用水水源保护条例》</w:t>
      </w:r>
      <w:r>
        <w:rPr>
          <w:rFonts w:ascii="Times New Roman" w:hAnsi="Times New Roman" w:eastAsia="仿宋_GB2312"/>
          <w:sz w:val="28"/>
          <w:szCs w:val="28"/>
        </w:rPr>
        <w:t>、《杭州市生活饮用水源保护条例》等饮用水源相关法律法规及管理规定进行管理和保护，严禁开展</w:t>
      </w:r>
      <w:r>
        <w:rPr>
          <w:rFonts w:hint="eastAsia" w:ascii="Times New Roman" w:hAnsi="Times New Roman" w:eastAsia="仿宋_GB2312"/>
          <w:sz w:val="28"/>
          <w:szCs w:val="28"/>
        </w:rPr>
        <w:t>违反</w:t>
      </w:r>
      <w:r>
        <w:rPr>
          <w:rFonts w:ascii="Times New Roman" w:hAnsi="Times New Roman" w:eastAsia="仿宋_GB2312"/>
          <w:sz w:val="28"/>
          <w:szCs w:val="28"/>
        </w:rPr>
        <w:t>生态保护红线管控</w:t>
      </w:r>
      <w:r>
        <w:rPr>
          <w:rFonts w:ascii="Times New Roman" w:hAnsi="Times New Roman" w:eastAsia="仿宋_GB2312"/>
          <w:snapToGrid w:val="0"/>
          <w:kern w:val="0"/>
          <w:sz w:val="28"/>
          <w:szCs w:val="28"/>
        </w:rPr>
        <w:t>要求</w:t>
      </w:r>
      <w:r>
        <w:rPr>
          <w:rFonts w:ascii="Times New Roman" w:hAnsi="Times New Roman" w:eastAsia="仿宋_GB2312"/>
          <w:sz w:val="28"/>
          <w:szCs w:val="28"/>
        </w:rPr>
        <w:t>或不符合正面清单允许的建设项目或活动。</w:t>
      </w:r>
    </w:p>
    <w:p>
      <w:pPr>
        <w:pStyle w:val="91"/>
        <w:spacing w:before="0" w:after="0" w:line="580" w:lineRule="exact"/>
        <w:ind w:left="0" w:leftChars="0" w:firstLine="562" w:firstLineChars="200"/>
        <w:rPr>
          <w:rFonts w:eastAsia="仿宋_GB2312"/>
          <w:color w:val="auto"/>
        </w:rPr>
      </w:pPr>
      <w:bookmarkStart w:id="97" w:name="_Toc68612222"/>
      <w:r>
        <w:rPr>
          <w:rFonts w:eastAsia="仿宋_GB2312"/>
          <w:color w:val="auto"/>
        </w:rPr>
        <w:t>4.1.3落实乡镇属地管理制度</w:t>
      </w:r>
      <w:bookmarkEnd w:id="97"/>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按照饮用水水源环境保护的相关规定，属地乡镇政府落实属地管理，在乡镇饮用水水源保护区的边界设立地理界标和警示标志，做好饮用水水源地的日常环境保护工作。</w:t>
      </w:r>
      <w:r>
        <w:rPr>
          <w:rFonts w:ascii="Times New Roman" w:hAnsi="Times New Roman" w:eastAsia="仿宋_GB2312"/>
          <w:snapToGrid w:val="0"/>
          <w:kern w:val="0"/>
          <w:sz w:val="28"/>
          <w:szCs w:val="28"/>
        </w:rPr>
        <w:t>其他</w:t>
      </w:r>
      <w:r>
        <w:rPr>
          <w:rFonts w:ascii="Times New Roman" w:hAnsi="Times New Roman" w:eastAsia="仿宋_GB2312"/>
          <w:sz w:val="28"/>
          <w:szCs w:val="28"/>
        </w:rPr>
        <w:t>相关部门要按照生态环境保护工作职责要求，切实履职尽责，确保饮用水水源安全。建立饮用水水源保护区风险管理系统，落实风险防范责任，完善风险防范措施。积极推进政府、污染源单位和供水单位“三位一体”的饮用水水源应急体系建设，科学编制饮用水水源突发环境污染事件应急预案，备足应急物资，平时定期、不定期的对加油站等风险源进行排查，并在此基础上加大了对应急设施督查力度，有效防范安全生产事故和交通事故导致的次生污染事件。</w:t>
      </w:r>
    </w:p>
    <w:p>
      <w:pPr>
        <w:pStyle w:val="3"/>
        <w:spacing w:before="120" w:beforeLines="50" w:afterLines="50" w:line="580" w:lineRule="exact"/>
        <w:rPr>
          <w:rFonts w:ascii="Times New Roman" w:hAnsi="Times New Roman" w:eastAsia="仿宋_GB2312"/>
        </w:rPr>
      </w:pPr>
      <w:bookmarkStart w:id="98" w:name="_Toc68612223"/>
      <w:r>
        <w:rPr>
          <w:rFonts w:ascii="Times New Roman" w:hAnsi="Times New Roman" w:eastAsia="仿宋_GB2312"/>
        </w:rPr>
        <w:t>4.</w:t>
      </w:r>
      <w:bookmarkStart w:id="99" w:name="_Toc135581878"/>
      <w:bookmarkStart w:id="100" w:name="_Toc138158011"/>
      <w:r>
        <w:rPr>
          <w:rFonts w:ascii="Times New Roman" w:hAnsi="Times New Roman" w:eastAsia="仿宋_GB2312"/>
        </w:rPr>
        <w:t xml:space="preserve">2 </w:t>
      </w:r>
      <w:r>
        <w:rPr>
          <w:rFonts w:hint="eastAsia" w:ascii="Times New Roman" w:hAnsi="Times New Roman" w:eastAsia="仿宋_GB2312"/>
        </w:rPr>
        <w:t>开展饮用水源</w:t>
      </w:r>
      <w:r>
        <w:rPr>
          <w:rFonts w:ascii="Times New Roman" w:hAnsi="Times New Roman" w:eastAsia="仿宋_GB2312"/>
        </w:rPr>
        <w:t>保护区</w:t>
      </w:r>
      <w:bookmarkEnd w:id="99"/>
      <w:bookmarkEnd w:id="100"/>
      <w:r>
        <w:rPr>
          <w:rFonts w:ascii="Times New Roman" w:hAnsi="Times New Roman" w:eastAsia="仿宋_GB2312"/>
        </w:rPr>
        <w:t>规范化建设</w:t>
      </w:r>
      <w:bookmarkEnd w:id="94"/>
      <w:bookmarkEnd w:id="98"/>
    </w:p>
    <w:p>
      <w:pPr>
        <w:pStyle w:val="91"/>
        <w:spacing w:before="0" w:after="0" w:line="580" w:lineRule="exact"/>
        <w:ind w:left="0" w:leftChars="0" w:firstLine="562" w:firstLineChars="200"/>
        <w:rPr>
          <w:rFonts w:eastAsia="仿宋_GB2312"/>
          <w:color w:val="auto"/>
        </w:rPr>
      </w:pPr>
      <w:bookmarkStart w:id="101" w:name="_Toc68612224"/>
      <w:r>
        <w:rPr>
          <w:rFonts w:eastAsia="仿宋_GB2312"/>
          <w:color w:val="auto"/>
        </w:rPr>
        <w:t>4.2.1强化保护区标志设置</w:t>
      </w:r>
      <w:bookmarkEnd w:id="101"/>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根据饮用水水源地保护区范围和《饮用水水源保护区标志技术要求》</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HJ/T 433-2008</w:t>
      </w:r>
      <w:r>
        <w:rPr>
          <w:rFonts w:hint="eastAsia" w:ascii="Times New Roman" w:hAnsi="Times New Roman" w:eastAsia="仿宋_GB2312"/>
          <w:snapToGrid w:val="0"/>
          <w:kern w:val="0"/>
          <w:sz w:val="28"/>
          <w:szCs w:val="28"/>
        </w:rPr>
        <w:t>）</w:t>
      </w:r>
      <w:r>
        <w:rPr>
          <w:rFonts w:ascii="Times New Roman" w:hAnsi="Times New Roman" w:eastAsia="仿宋_GB2312"/>
          <w:snapToGrid w:val="0"/>
          <w:kern w:val="0"/>
          <w:sz w:val="28"/>
          <w:szCs w:val="28"/>
        </w:rPr>
        <w:t>，对水源保护区岸线、水源地交通主干道两侧交界处醒目位置设置界碑、标志标牌和宣传牌。按照《道路交通标志和标线》（GB5768）规范要求，增设水源地保护区、危化品车辆禁行等相关公路标志标牌，区公安交警部门加强危化品运输禁行管理，从源头上加强道路运输风险防范，扎实做好水源地一级保护区保护工作。</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1、饮用水水源保护界标的设立位置</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饮用水水源保护区界标一般设立于保护区陆域界线的端点处。随保护区域形状不同，在相应</w:t>
      </w:r>
      <w:r>
        <w:rPr>
          <w:rFonts w:hint="eastAsia" w:ascii="Times New Roman" w:hAnsi="Times New Roman" w:eastAsia="仿宋_GB2312"/>
          <w:snapToGrid w:val="0"/>
          <w:kern w:val="0"/>
          <w:sz w:val="28"/>
          <w:szCs w:val="28"/>
        </w:rPr>
        <w:t>形状</w:t>
      </w:r>
      <w:r>
        <w:rPr>
          <w:rFonts w:hint="eastAsia" w:ascii="Times New Roman" w:hAnsi="Times New Roman" w:eastAsia="仿宋_GB2312"/>
          <w:sz w:val="28"/>
          <w:szCs w:val="28"/>
        </w:rPr>
        <w:t>顶端设置界标，多边形即设置在多边形的顶点；弧形设置在弧顶切点；圆形设置在外切正方形的端点，并结合水源地护栏围网等隔离防护工程设立界标。根据环境管理需要在人群易见、活动处（如交叉路口，绿地休闲区等）设立界标。饮用水水源保护区界标的设立应综合考虑饮用水水源一级保护区、二级保护区和准保护区的界标设立数量和分布进行设置。沿二级保护区边界每500m 设黄色饮用水水源保护区标志，在人流密度大的居民区、厂区、路口等地方加设。牌上注明“××水源二级保护区”字样、严禁内容、项目、范围，并定期巡视、监督管理。</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2、饮用水水源保护道路警示牌的设立位置</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饮用水水源保护道路警示牌设在保护区道路进入点及驶出点。</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饮用水水源保护道路警示牌设置于保护区和保护区范围内的主干道、高速公路等道路旁。道路警示牌的具体设立位置应符合《道路交通标志和标线》（GB 5768） 的相关要求。</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3、饮用水水源保护宣传牌的设立位置</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各地方政府可根据实际需要在适当的位置设立饮用水源保护区宣传牌，但应符合</w:t>
      </w:r>
      <w:r>
        <w:rPr>
          <w:rFonts w:hint="eastAsia" w:ascii="Times New Roman" w:hAnsi="Times New Roman" w:eastAsia="仿宋_GB2312"/>
          <w:snapToGrid w:val="0"/>
          <w:kern w:val="0"/>
          <w:sz w:val="28"/>
          <w:szCs w:val="28"/>
        </w:rPr>
        <w:t>《图形标志使用原则与要求》</w:t>
      </w:r>
      <w:r>
        <w:rPr>
          <w:rFonts w:hint="eastAsia" w:ascii="Times New Roman" w:hAnsi="Times New Roman" w:eastAsia="仿宋_GB2312"/>
          <w:sz w:val="28"/>
          <w:szCs w:val="28"/>
        </w:rPr>
        <w:t>（GB/T 15566）的相关要求。</w:t>
      </w:r>
    </w:p>
    <w:p>
      <w:pPr>
        <w:pStyle w:val="54"/>
        <w:spacing w:line="36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rPr>
        <w:drawing>
          <wp:inline distT="0" distB="0" distL="0" distR="0">
            <wp:extent cx="3761740" cy="1580515"/>
            <wp:effectExtent l="0" t="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1"/>
                    <a:stretch>
                      <a:fillRect/>
                    </a:stretch>
                  </pic:blipFill>
                  <pic:spPr>
                    <a:xfrm>
                      <a:off x="0" y="0"/>
                      <a:ext cx="3761905" cy="1580952"/>
                    </a:xfrm>
                    <a:prstGeom prst="rect">
                      <a:avLst/>
                    </a:prstGeom>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图4.</w:t>
      </w:r>
      <w:r>
        <w:rPr>
          <w:rFonts w:hint="eastAsia" w:ascii="Times New Roman" w:eastAsia="仿宋_GB2312"/>
          <w:sz w:val="24"/>
          <w:szCs w:val="24"/>
        </w:rPr>
        <w:t>2</w:t>
      </w:r>
      <w:r>
        <w:rPr>
          <w:rFonts w:ascii="Times New Roman" w:eastAsia="仿宋_GB2312"/>
          <w:sz w:val="24"/>
          <w:szCs w:val="24"/>
        </w:rPr>
        <w:t>-1饮用水水源保护区道路警示牌示意图（一般道路）</w:t>
      </w:r>
    </w:p>
    <w:p>
      <w:pPr>
        <w:pStyle w:val="54"/>
        <w:spacing w:line="360" w:lineRule="auto"/>
        <w:ind w:firstLine="0" w:firstLineChars="0"/>
        <w:jc w:val="center"/>
        <w:rPr>
          <w:rFonts w:ascii="Times New Roman" w:hAnsi="Times New Roman" w:eastAsia="仿宋_GB2312"/>
          <w:snapToGrid w:val="0"/>
          <w:kern w:val="0"/>
          <w:sz w:val="28"/>
          <w:szCs w:val="28"/>
        </w:rPr>
      </w:pPr>
    </w:p>
    <w:p>
      <w:pPr>
        <w:pStyle w:val="54"/>
        <w:spacing w:line="36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rPr>
        <w:drawing>
          <wp:inline distT="0" distB="0" distL="0" distR="0">
            <wp:extent cx="3618865" cy="1437640"/>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a:stretch>
                      <a:fillRect/>
                    </a:stretch>
                  </pic:blipFill>
                  <pic:spPr>
                    <a:xfrm>
                      <a:off x="0" y="0"/>
                      <a:ext cx="3619048" cy="1438095"/>
                    </a:xfrm>
                    <a:prstGeom prst="rect">
                      <a:avLst/>
                    </a:prstGeom>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图4.</w:t>
      </w:r>
      <w:r>
        <w:rPr>
          <w:rFonts w:hint="eastAsia" w:ascii="Times New Roman" w:eastAsia="仿宋_GB2312"/>
          <w:sz w:val="24"/>
          <w:szCs w:val="24"/>
        </w:rPr>
        <w:t>2</w:t>
      </w:r>
      <w:r>
        <w:rPr>
          <w:rFonts w:ascii="Times New Roman" w:eastAsia="仿宋_GB2312"/>
          <w:sz w:val="24"/>
          <w:szCs w:val="24"/>
        </w:rPr>
        <w:t>-2驶离饮用水水源保护区道路告示牌示意图（一般道路）</w:t>
      </w:r>
    </w:p>
    <w:p>
      <w:pPr>
        <w:pStyle w:val="54"/>
        <w:spacing w:line="360" w:lineRule="auto"/>
        <w:ind w:firstLine="0" w:firstLineChars="0"/>
        <w:jc w:val="center"/>
        <w:rPr>
          <w:rFonts w:ascii="Times New Roman" w:hAnsi="Times New Roman" w:eastAsia="仿宋_GB2312"/>
          <w:snapToGrid w:val="0"/>
          <w:kern w:val="0"/>
          <w:sz w:val="28"/>
          <w:szCs w:val="28"/>
        </w:rPr>
      </w:pPr>
    </w:p>
    <w:p>
      <w:pPr>
        <w:pStyle w:val="54"/>
        <w:spacing w:line="360" w:lineRule="auto"/>
        <w:ind w:firstLine="0" w:firstLineChars="0"/>
        <w:jc w:val="center"/>
        <w:rPr>
          <w:rFonts w:ascii="Times New Roman" w:hAnsi="Times New Roman" w:eastAsia="仿宋_GB2312"/>
          <w:snapToGrid w:val="0"/>
          <w:kern w:val="0"/>
          <w:sz w:val="28"/>
          <w:szCs w:val="28"/>
        </w:rPr>
      </w:pPr>
      <w:r>
        <w:rPr>
          <w:rFonts w:ascii="Times New Roman" w:hAnsi="Times New Roman" w:eastAsia="仿宋_GB2312"/>
        </w:rPr>
        <w:drawing>
          <wp:inline distT="0" distB="0" distL="0" distR="0">
            <wp:extent cx="4612640" cy="293814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3"/>
                    <a:stretch>
                      <a:fillRect/>
                    </a:stretch>
                  </pic:blipFill>
                  <pic:spPr>
                    <a:xfrm>
                      <a:off x="0" y="0"/>
                      <a:ext cx="4626335" cy="2947118"/>
                    </a:xfrm>
                    <a:prstGeom prst="rect">
                      <a:avLst/>
                    </a:prstGeom>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图4.</w:t>
      </w:r>
      <w:r>
        <w:rPr>
          <w:rFonts w:hint="eastAsia" w:ascii="Times New Roman" w:eastAsia="仿宋_GB2312"/>
          <w:sz w:val="24"/>
          <w:szCs w:val="24"/>
        </w:rPr>
        <w:t>2</w:t>
      </w:r>
      <w:r>
        <w:rPr>
          <w:rFonts w:ascii="Times New Roman" w:eastAsia="仿宋_GB2312"/>
          <w:sz w:val="24"/>
          <w:szCs w:val="24"/>
        </w:rPr>
        <w:t>-3饮用水水源保护区界标正面、反面示意图</w:t>
      </w:r>
    </w:p>
    <w:p>
      <w:pPr>
        <w:pStyle w:val="91"/>
        <w:spacing w:before="0" w:after="0" w:line="580" w:lineRule="exact"/>
        <w:ind w:left="0" w:leftChars="0" w:firstLine="562" w:firstLineChars="200"/>
        <w:rPr>
          <w:rFonts w:eastAsia="仿宋_GB2312"/>
          <w:color w:val="auto"/>
        </w:rPr>
      </w:pPr>
      <w:bookmarkStart w:id="102" w:name="_Toc68612225"/>
      <w:r>
        <w:rPr>
          <w:rFonts w:eastAsia="仿宋_GB2312"/>
          <w:color w:val="auto"/>
        </w:rPr>
        <w:t>4.2.2强化保护区隔离防护</w:t>
      </w:r>
      <w:bookmarkEnd w:id="102"/>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根据《集中式饮用水水源地规范化建设环境保护技术要求》（HJ 773-2015）中保护区建设要求，在一级保护区周边人类活动频繁的区域设置隔离防护措施。隔离设施通常包括隔离网、隔离墙和绿化隔离带，推荐采用隔离网。绿化隔离带的设置，必须具备一定的宽度和高度，能起到阻隔人群活动的作用。</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对于饮用水水源一级保护区应采取隔离措施，阻隔人群活动，防止人类不合理</w:t>
      </w:r>
      <w:r>
        <w:rPr>
          <w:rFonts w:ascii="Times New Roman" w:hAnsi="Times New Roman" w:eastAsia="仿宋_GB2312"/>
          <w:snapToGrid w:val="0"/>
          <w:kern w:val="0"/>
          <w:sz w:val="28"/>
          <w:szCs w:val="28"/>
        </w:rPr>
        <w:t>活动</w:t>
      </w:r>
      <w:r>
        <w:rPr>
          <w:rFonts w:ascii="Times New Roman" w:hAnsi="Times New Roman" w:eastAsia="仿宋_GB2312"/>
          <w:sz w:val="28"/>
          <w:szCs w:val="28"/>
        </w:rPr>
        <w:t>对水源地保护区水量、水质造成影响。隔离工程原则上应沿着保护区的边界建设，并根据保护区的实际情况合理确定隔离工程的范围。在取水口和取水设施周边，必须设置明显的具有保护性功能的隔离防护设施（如保护栅栏等）；在水源地保护范围内，据地形地貌及周边具体情况，因地制宜地合理确定隔离工程的大小范围和措施（如围墙、网栅、围网）类型，实行封闭式管理。</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（1）设立位置</w:t>
      </w:r>
      <w:r>
        <w:rPr>
          <w:rFonts w:hint="eastAsia" w:ascii="Times New Roman" w:hAnsi="Times New Roman" w:eastAsia="仿宋_GB2312"/>
          <w:sz w:val="28"/>
          <w:szCs w:val="28"/>
        </w:rPr>
        <w:t>：</w:t>
      </w:r>
      <w:r>
        <w:rPr>
          <w:rFonts w:ascii="Times New Roman" w:hAnsi="Times New Roman" w:eastAsia="仿宋_GB2312"/>
          <w:sz w:val="28"/>
          <w:szCs w:val="28"/>
        </w:rPr>
        <w:t>依据水源地的自然地理、环境特征和环境管理需要，在人群活动较为频繁的一级保护区陆域外围边界设置隔离网。</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（2）材质、尺寸</w:t>
      </w:r>
      <w:r>
        <w:rPr>
          <w:rFonts w:hint="eastAsia" w:ascii="Times New Roman" w:hAnsi="Times New Roman" w:eastAsia="仿宋_GB2312"/>
          <w:sz w:val="28"/>
          <w:szCs w:val="28"/>
        </w:rPr>
        <w:t>：</w:t>
      </w:r>
      <w:r>
        <w:rPr>
          <w:rFonts w:ascii="Times New Roman" w:hAnsi="Times New Roman" w:eastAsia="仿宋_GB2312"/>
          <w:sz w:val="28"/>
          <w:szCs w:val="28"/>
        </w:rPr>
        <w:t>饮用水水源保护区隔离网应遵循耐久、经济的原则，参照高速公路隔离网设计，宜采用浸塑电焊网，规格高度1.7 m，顶部0.2 m向内倾斜。尺寸、结构参见图4.2-4。</w:t>
      </w:r>
    </w:p>
    <w:p>
      <w:pPr>
        <w:spacing w:line="580" w:lineRule="exact"/>
        <w:ind w:firstLine="560"/>
        <w:rPr>
          <w:rFonts w:ascii="Times New Roman" w:hAnsi="Times New Roman" w:eastAsia="仿宋_GB2312"/>
          <w:sz w:val="28"/>
          <w:szCs w:val="28"/>
        </w:rPr>
      </w:pPr>
      <w:r>
        <w:rPr>
          <w:rFonts w:ascii="Times New Roman" w:hAnsi="Times New Roman" w:eastAsia="仿宋_GB2312"/>
          <w:sz w:val="28"/>
          <w:szCs w:val="28"/>
        </w:rPr>
        <w:t>（3）颜色</w:t>
      </w:r>
      <w:r>
        <w:rPr>
          <w:rFonts w:hint="eastAsia" w:ascii="Times New Roman" w:hAnsi="Times New Roman" w:eastAsia="仿宋_GB2312"/>
          <w:sz w:val="28"/>
          <w:szCs w:val="28"/>
        </w:rPr>
        <w:t>：</w:t>
      </w:r>
      <w:r>
        <w:rPr>
          <w:rFonts w:ascii="Times New Roman" w:hAnsi="Times New Roman" w:eastAsia="仿宋_GB2312"/>
          <w:sz w:val="28"/>
          <w:szCs w:val="28"/>
        </w:rPr>
        <w:t>饮用水水源保护区隔离网的颜色采用绿色。</w:t>
      </w:r>
    </w:p>
    <w:p>
      <w:pPr>
        <w:spacing w:line="360" w:lineRule="auto"/>
        <w:ind w:firstLine="560"/>
        <w:jc w:val="center"/>
        <w:rPr>
          <w:rFonts w:ascii="Times New Roman" w:hAnsi="Times New Roman" w:eastAsia="仿宋_GB2312"/>
          <w:sz w:val="28"/>
          <w:szCs w:val="28"/>
        </w:rPr>
      </w:pPr>
      <w:r>
        <w:rPr>
          <w:rFonts w:ascii="Times New Roman" w:hAnsi="Times New Roman" w:eastAsia="仿宋_GB2312"/>
          <w:sz w:val="28"/>
          <w:szCs w:val="28"/>
        </w:rPr>
        <w:drawing>
          <wp:inline distT="0" distB="0" distL="0" distR="0">
            <wp:extent cx="4350385" cy="2874645"/>
            <wp:effectExtent l="0" t="0" r="0" b="1905"/>
            <wp:docPr id="56" name="图片 56" descr="E:\嘉源\淳安农村饮用水水源保护区划分\7图像资料\泰山区农村饮用水水源地保护区（保护范围）隔离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嘉源\淳安农村饮用水水源保护区划分\7图像资料\泰山区农村饮用水水源地保护区（保护范围）隔离网.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350385" cy="2874645"/>
                    </a:xfrm>
                    <a:prstGeom prst="rect">
                      <a:avLst/>
                    </a:prstGeom>
                    <a:noFill/>
                    <a:ln>
                      <a:noFill/>
                    </a:ln>
                  </pic:spPr>
                </pic:pic>
              </a:graphicData>
            </a:graphic>
          </wp:inline>
        </w:drawing>
      </w:r>
    </w:p>
    <w:p>
      <w:pPr>
        <w:pStyle w:val="98"/>
        <w:spacing w:before="0" w:beforeLines="0" w:after="0" w:afterLines="0"/>
        <w:rPr>
          <w:rFonts w:ascii="Times New Roman" w:eastAsia="仿宋_GB2312"/>
          <w:sz w:val="24"/>
          <w:szCs w:val="24"/>
        </w:rPr>
      </w:pPr>
      <w:r>
        <w:rPr>
          <w:rFonts w:ascii="Times New Roman" w:eastAsia="仿宋_GB2312"/>
          <w:sz w:val="24"/>
          <w:szCs w:val="24"/>
        </w:rPr>
        <w:t>图4.2-4 饮用水水源保护隔离网结构图示及尺寸（单位：</w:t>
      </w:r>
      <w:r>
        <w:rPr>
          <w:rFonts w:hint="eastAsia" w:ascii="Times New Roman" w:eastAsia="仿宋_GB2312"/>
          <w:sz w:val="24"/>
          <w:szCs w:val="24"/>
        </w:rPr>
        <w:t>m</w:t>
      </w:r>
      <w:r>
        <w:rPr>
          <w:rFonts w:ascii="Times New Roman" w:eastAsia="仿宋_GB2312"/>
          <w:sz w:val="24"/>
          <w:szCs w:val="24"/>
        </w:rPr>
        <w:t>m）</w:t>
      </w:r>
    </w:p>
    <w:p>
      <w:pPr>
        <w:pStyle w:val="91"/>
        <w:spacing w:before="0" w:after="0" w:line="580" w:lineRule="exact"/>
        <w:ind w:left="0" w:leftChars="0" w:firstLine="562" w:firstLineChars="200"/>
        <w:rPr>
          <w:rFonts w:eastAsia="仿宋_GB2312"/>
          <w:color w:val="auto"/>
        </w:rPr>
      </w:pPr>
      <w:bookmarkStart w:id="103" w:name="_Toc68612226"/>
      <w:bookmarkStart w:id="104" w:name="_Toc65568813"/>
      <w:r>
        <w:rPr>
          <w:rFonts w:hint="eastAsia" w:eastAsia="仿宋_GB2312"/>
          <w:color w:val="auto"/>
        </w:rPr>
        <w:t>4</w:t>
      </w:r>
      <w:r>
        <w:rPr>
          <w:rFonts w:eastAsia="仿宋_GB2312"/>
          <w:color w:val="auto"/>
        </w:rPr>
        <w:t xml:space="preserve">.2.3 </w:t>
      </w:r>
      <w:r>
        <w:rPr>
          <w:rFonts w:hint="eastAsia" w:eastAsia="仿宋_GB2312"/>
          <w:color w:val="auto"/>
        </w:rPr>
        <w:t>交通穿越区域防护要求</w:t>
      </w:r>
      <w:bookmarkEnd w:id="103"/>
    </w:p>
    <w:p>
      <w:pPr>
        <w:spacing w:line="580" w:lineRule="exact"/>
        <w:ind w:firstLine="560"/>
        <w:rPr>
          <w:rFonts w:ascii="Times New Roman" w:hAnsi="Times New Roman" w:eastAsia="仿宋_GB2312"/>
          <w:sz w:val="28"/>
          <w:szCs w:val="28"/>
        </w:rPr>
      </w:pPr>
      <w:bookmarkStart w:id="105" w:name="_Hlk66827719"/>
      <w:r>
        <w:rPr>
          <w:rFonts w:ascii="Times New Roman" w:hAnsi="Times New Roman" w:eastAsia="仿宋_GB2312"/>
          <w:sz w:val="28"/>
          <w:szCs w:val="28"/>
        </w:rPr>
        <w:t>根据《集中式饮用水水源地规范化建设环境保护技术要求》（HJ 773-2015）中保护区建设要求</w:t>
      </w:r>
      <w:r>
        <w:rPr>
          <w:rFonts w:hint="eastAsia" w:ascii="Times New Roman" w:hAnsi="Times New Roman" w:eastAsia="仿宋_GB2312"/>
          <w:sz w:val="28"/>
          <w:szCs w:val="28"/>
        </w:rPr>
        <w:t>，保护区内有道路交通穿越的地表水饮用水水源地和潜水型地下水饮用水水源地，建设防撞护栏、事故导流槽和应急池等设施。</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江岭水库众潘线、夏村水库河白线等道路紧邻一级保护区，要</w:t>
      </w:r>
      <w:r>
        <w:rPr>
          <w:rFonts w:hint="eastAsia" w:ascii="仿宋_GB2312" w:hAnsi="微软雅黑" w:eastAsia="仿宋_GB2312" w:cs="微软雅黑"/>
          <w:sz w:val="28"/>
          <w:szCs w:val="28"/>
        </w:rPr>
        <w:t>严格落实道路挡水墙建设、隔离护栏、防撞护栏、防洪堤提标等隔离措施，</w:t>
      </w:r>
      <w:r>
        <w:rPr>
          <w:rFonts w:hint="eastAsia" w:ascii="Times New Roman" w:hAnsi="Times New Roman" w:eastAsia="仿宋_GB2312"/>
          <w:sz w:val="28"/>
          <w:szCs w:val="28"/>
        </w:rPr>
        <w:t>避免人类活动对水质的影响；华光潭一级水库二级保护区范围内华光潭大桥应在两侧建设防撞护栏、桥面径流收集系统等事故应急防护工程措施。</w:t>
      </w:r>
    </w:p>
    <w:bookmarkEnd w:id="105"/>
    <w:p>
      <w:pPr>
        <w:pStyle w:val="3"/>
        <w:spacing w:before="120" w:beforeLines="50" w:afterLines="50" w:line="580" w:lineRule="exact"/>
        <w:rPr>
          <w:rFonts w:ascii="Times New Roman" w:hAnsi="Times New Roman" w:eastAsia="仿宋_GB2312"/>
        </w:rPr>
      </w:pPr>
      <w:bookmarkStart w:id="106" w:name="_Toc68612227"/>
      <w:r>
        <w:rPr>
          <w:rFonts w:ascii="Times New Roman" w:hAnsi="Times New Roman" w:eastAsia="仿宋_GB2312"/>
        </w:rPr>
        <w:t>4.3加强</w:t>
      </w:r>
      <w:r>
        <w:rPr>
          <w:rFonts w:hint="eastAsia" w:ascii="Times New Roman" w:hAnsi="Times New Roman" w:eastAsia="仿宋_GB2312"/>
        </w:rPr>
        <w:t>饮用水源</w:t>
      </w:r>
      <w:r>
        <w:rPr>
          <w:rFonts w:ascii="Times New Roman" w:hAnsi="Times New Roman" w:eastAsia="仿宋_GB2312"/>
        </w:rPr>
        <w:t>保护区污染</w:t>
      </w:r>
      <w:bookmarkEnd w:id="104"/>
      <w:r>
        <w:rPr>
          <w:rFonts w:hint="eastAsia" w:ascii="Times New Roman" w:hAnsi="Times New Roman" w:eastAsia="仿宋_GB2312"/>
        </w:rPr>
        <w:t>防治</w:t>
      </w:r>
      <w:bookmarkEnd w:id="106"/>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根据对饮用水水源地保护区的现状调查结果，在饮用水水源地保护范围内，目前主要存在生活污染源、林业污染源、农业污染源、流动污染源等，根据</w:t>
      </w:r>
      <w:r>
        <w:rPr>
          <w:rFonts w:ascii="Times New Roman" w:hAnsi="Times New Roman" w:eastAsia="仿宋_GB2312"/>
          <w:sz w:val="28"/>
          <w:szCs w:val="28"/>
        </w:rPr>
        <w:t>《集中式饮用水水源地规范化建设环境保护技术要求》（HJ 773-2015）中</w:t>
      </w:r>
      <w:r>
        <w:rPr>
          <w:rFonts w:ascii="Times New Roman" w:hAnsi="Times New Roman" w:eastAsia="仿宋_GB2312"/>
          <w:snapToGrid w:val="0"/>
          <w:kern w:val="0"/>
          <w:sz w:val="28"/>
          <w:szCs w:val="28"/>
        </w:rPr>
        <w:t>保护区</w:t>
      </w:r>
      <w:r>
        <w:rPr>
          <w:rFonts w:ascii="Times New Roman" w:hAnsi="Times New Roman" w:eastAsia="仿宋_GB2312"/>
          <w:sz w:val="28"/>
          <w:szCs w:val="28"/>
        </w:rPr>
        <w:t>整治要求</w:t>
      </w:r>
      <w:r>
        <w:rPr>
          <w:rFonts w:hint="eastAsia" w:ascii="Times New Roman" w:hAnsi="Times New Roman" w:eastAsia="仿宋_GB2312"/>
          <w:sz w:val="28"/>
          <w:szCs w:val="28"/>
        </w:rPr>
        <w:t>，提出保护区的污染源整治措施，整治措施清单详见表</w:t>
      </w:r>
      <w:r>
        <w:rPr>
          <w:rFonts w:ascii="Times New Roman" w:hAnsi="Times New Roman" w:eastAsia="仿宋_GB2312"/>
          <w:sz w:val="28"/>
          <w:szCs w:val="28"/>
        </w:rPr>
        <w:t>4.3-1</w:t>
      </w:r>
      <w:r>
        <w:rPr>
          <w:rFonts w:hint="eastAsia" w:ascii="Times New Roman" w:hAnsi="Times New Roman" w:eastAsia="仿宋_GB2312"/>
          <w:sz w:val="28"/>
          <w:szCs w:val="28"/>
        </w:rPr>
        <w:t>。</w:t>
      </w:r>
    </w:p>
    <w:p>
      <w:pPr>
        <w:pStyle w:val="91"/>
        <w:spacing w:before="0" w:after="0" w:line="580" w:lineRule="exact"/>
        <w:ind w:left="0" w:leftChars="0" w:firstLine="562" w:firstLineChars="200"/>
        <w:rPr>
          <w:rFonts w:eastAsia="仿宋_GB2312"/>
          <w:color w:val="auto"/>
        </w:rPr>
      </w:pPr>
      <w:bookmarkStart w:id="107" w:name="_Toc68612228"/>
      <w:r>
        <w:rPr>
          <w:rFonts w:eastAsia="仿宋_GB2312"/>
          <w:color w:val="auto"/>
        </w:rPr>
        <w:t>4.3.1 强化</w:t>
      </w:r>
      <w:r>
        <w:rPr>
          <w:rFonts w:hint="eastAsia" w:eastAsia="仿宋_GB2312"/>
          <w:color w:val="auto"/>
        </w:rPr>
        <w:t>点源污染治理</w:t>
      </w:r>
      <w:bookmarkEnd w:id="107"/>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napToGrid w:val="0"/>
          <w:kern w:val="0"/>
          <w:sz w:val="28"/>
          <w:szCs w:val="28"/>
        </w:rPr>
        <w:t>加强水库周边点源污染治理力度，对于华光潭一级水库二级保护区内的酒店等旅游餐饮项目，限期关停或搬迁；同时进一步摸排，按照要求整治一级保护区内部存在的居民点和建设项目，确保保护区内部生活污水和生活垃圾有效收集后移送至保护区外进行处理，落实</w:t>
      </w:r>
      <w:r>
        <w:rPr>
          <w:rFonts w:ascii="Times New Roman" w:hAnsi="Times New Roman" w:eastAsia="仿宋_GB2312"/>
          <w:snapToGrid w:val="0"/>
          <w:kern w:val="0"/>
          <w:sz w:val="28"/>
          <w:szCs w:val="28"/>
        </w:rPr>
        <w:t>供水水厂运营过程所产生的污水、垃圾等的集中处置工作，做到污水不外排，垃圾不乱扔</w:t>
      </w:r>
      <w:r>
        <w:rPr>
          <w:rFonts w:hint="eastAsia" w:ascii="Times New Roman" w:hAnsi="Times New Roman" w:eastAsia="仿宋_GB2312"/>
          <w:snapToGrid w:val="0"/>
          <w:kern w:val="0"/>
          <w:sz w:val="28"/>
          <w:szCs w:val="28"/>
        </w:rPr>
        <w:t>，切实提高饮用水水源环境安全。</w:t>
      </w:r>
    </w:p>
    <w:p>
      <w:pPr>
        <w:pStyle w:val="91"/>
        <w:spacing w:before="0" w:after="0" w:line="580" w:lineRule="exact"/>
        <w:ind w:left="0" w:leftChars="0" w:firstLine="562" w:firstLineChars="200"/>
        <w:rPr>
          <w:rFonts w:eastAsia="仿宋_GB2312"/>
          <w:color w:val="auto"/>
        </w:rPr>
      </w:pPr>
      <w:bookmarkStart w:id="108" w:name="_Toc68612229"/>
      <w:r>
        <w:rPr>
          <w:rFonts w:eastAsia="仿宋_GB2312"/>
          <w:color w:val="auto"/>
        </w:rPr>
        <w:t xml:space="preserve">4.3.2 </w:t>
      </w:r>
      <w:r>
        <w:rPr>
          <w:rFonts w:hint="eastAsia" w:eastAsia="仿宋_GB2312"/>
          <w:color w:val="auto"/>
        </w:rPr>
        <w:t>落实农业面源污染防治</w:t>
      </w:r>
      <w:bookmarkEnd w:id="108"/>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禁止在饮用水水源一级保护区内从事网箱养殖</w:t>
      </w:r>
      <w:r>
        <w:rPr>
          <w:rFonts w:hint="eastAsia" w:ascii="Times New Roman" w:hAnsi="Times New Roman" w:eastAsia="仿宋_GB2312"/>
          <w:snapToGrid w:val="0"/>
          <w:kern w:val="0"/>
          <w:sz w:val="28"/>
          <w:szCs w:val="28"/>
        </w:rPr>
        <w:t>，保护区内水域实施生态化养殖，以有效控制养殖带来的不利影响。加强饮用水水源一级保护区内农业种植污染防治，严禁在保护区内使用农药、化肥等非点源污染，并酌情考虑开展生态修复工程。</w:t>
      </w:r>
    </w:p>
    <w:p>
      <w:pPr>
        <w:spacing w:line="580" w:lineRule="exact"/>
        <w:ind w:firstLine="560"/>
        <w:rPr>
          <w:rFonts w:ascii="Times New Roman" w:hAnsi="Times New Roman" w:eastAsia="仿宋_GB2312"/>
          <w:sz w:val="28"/>
          <w:szCs w:val="28"/>
        </w:rPr>
      </w:pPr>
      <w:bookmarkStart w:id="109" w:name="_Hlk66827302"/>
      <w:r>
        <w:rPr>
          <w:rFonts w:hint="eastAsia" w:ascii="Times New Roman" w:hAnsi="Times New Roman" w:eastAsia="仿宋_GB2312"/>
          <w:sz w:val="28"/>
          <w:szCs w:val="28"/>
        </w:rPr>
        <w:t>对于饮用水水源二级保护区内的农业种植和经济林，应实行科学种植和非点源污染防治。重点做好农药和化肥“双控”，实施农药购买实名制、化肥使用定额制，开展化肥、农药减量化，支持有机肥研发，大力推广测土配方施肥、有机肥、统防统治及液肥配送等有效措施。农田径流污染控制工程可通过坑、塘、池等工程措施，减少径流冲刷和土壤流失，并通过多种生物系统拦截净化污染物。山坡林地禁止使用草甘磷，严控化学除草剂、化肥和林地垦挖垦抚，推广使用绿肥，减少水土流失。以有机肥利用为主，减少农药、化肥的施用量，及时减少面源污染负荷。</w:t>
      </w:r>
      <w:r>
        <w:rPr>
          <w:rFonts w:ascii="Times New Roman" w:hAnsi="Times New Roman" w:eastAsia="仿宋_GB2312"/>
          <w:snapToGrid w:val="0"/>
          <w:kern w:val="0"/>
          <w:sz w:val="28"/>
          <w:szCs w:val="28"/>
        </w:rPr>
        <w:t>禁止毁林开荒、烧山开荒，禁止在山坡地开垦种植作物，保护植被，植树种草，涵养水源，防治水土流失和水体污染，改善生态环境。</w:t>
      </w:r>
    </w:p>
    <w:bookmarkEnd w:id="109"/>
    <w:p>
      <w:pPr>
        <w:pStyle w:val="91"/>
        <w:spacing w:before="0" w:after="0" w:line="580" w:lineRule="exact"/>
        <w:ind w:left="0" w:leftChars="0" w:firstLine="562" w:firstLineChars="200"/>
        <w:rPr>
          <w:rFonts w:eastAsia="仿宋_GB2312"/>
          <w:color w:val="auto"/>
        </w:rPr>
      </w:pPr>
      <w:bookmarkStart w:id="110" w:name="_Toc68612230"/>
      <w:r>
        <w:rPr>
          <w:rFonts w:eastAsia="仿宋_GB2312"/>
          <w:color w:val="auto"/>
        </w:rPr>
        <w:t xml:space="preserve">4.3.3 </w:t>
      </w:r>
      <w:r>
        <w:rPr>
          <w:rFonts w:hint="eastAsia" w:eastAsia="仿宋_GB2312"/>
          <w:color w:val="auto"/>
        </w:rPr>
        <w:t>开展生活污染防治</w:t>
      </w:r>
      <w:bookmarkEnd w:id="110"/>
    </w:p>
    <w:p>
      <w:pPr>
        <w:spacing w:line="580" w:lineRule="exact"/>
        <w:ind w:firstLine="560"/>
        <w:rPr>
          <w:rFonts w:ascii="Times New Roman" w:hAnsi="Times New Roman" w:eastAsia="仿宋_GB2312"/>
          <w:snapToGrid w:val="0"/>
          <w:kern w:val="0"/>
          <w:sz w:val="28"/>
          <w:szCs w:val="28"/>
        </w:rPr>
      </w:pPr>
      <w:r>
        <w:rPr>
          <w:rFonts w:hint="eastAsia" w:ascii="Times New Roman" w:hAnsi="Times New Roman" w:eastAsia="仿宋_GB2312"/>
          <w:sz w:val="28"/>
          <w:szCs w:val="28"/>
        </w:rPr>
        <w:t>华光潭一级水库、江岭水库、夏村水库等水库饮用水源地二级保护区范围内的原住居民，应做好生活污水和垃圾的收集和处理，推进农村污水、垃圾、厕所“三大革命”，提高农村生活污水集中处理率，实施农村污水处理“提质增效”行动。农村污水处理设施出水水质严格执行浙江省《农村生活污水处理设施水污染物排放标准》（DB33/973-2015），加快推进农村污水治理设施全面提升改造。</w:t>
      </w:r>
    </w:p>
    <w:p>
      <w:pPr>
        <w:pStyle w:val="91"/>
        <w:spacing w:before="0" w:after="0" w:line="580" w:lineRule="exact"/>
        <w:ind w:left="0" w:leftChars="0" w:firstLine="562" w:firstLineChars="200"/>
        <w:rPr>
          <w:rFonts w:eastAsia="仿宋_GB2312"/>
          <w:color w:val="auto"/>
        </w:rPr>
      </w:pPr>
      <w:bookmarkStart w:id="111" w:name="_Toc68612231"/>
      <w:r>
        <w:rPr>
          <w:rFonts w:eastAsia="仿宋_GB2312"/>
          <w:color w:val="auto"/>
        </w:rPr>
        <w:t>4.3.4 强化流动源管理</w:t>
      </w:r>
      <w:bookmarkEnd w:id="111"/>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z w:val="28"/>
          <w:szCs w:val="32"/>
        </w:rPr>
        <w:t>健全保护区内危险化学品运输管理制度，二级保护区内的危险化</w:t>
      </w:r>
      <w:r>
        <w:rPr>
          <w:rFonts w:ascii="Times New Roman" w:hAnsi="Times New Roman" w:eastAsia="仿宋_GB2312"/>
          <w:snapToGrid w:val="0"/>
          <w:kern w:val="0"/>
          <w:sz w:val="28"/>
          <w:szCs w:val="28"/>
        </w:rPr>
        <w:t>学品运输应采取限制运载重量和物资种类、限定行驶路线等管理措施，并完善应急处置设施。对于保护区内运输危险化学品车辆及其他穿越保护区的流动源，利用定位系统等设备进行实时监控</w:t>
      </w:r>
      <w:r>
        <w:rPr>
          <w:rFonts w:hint="eastAsia" w:ascii="Times New Roman" w:hAnsi="Times New Roman" w:eastAsia="仿宋_GB2312"/>
          <w:snapToGrid w:val="0"/>
          <w:kern w:val="0"/>
          <w:sz w:val="28"/>
          <w:szCs w:val="28"/>
        </w:rPr>
        <w:t>。</w:t>
      </w:r>
    </w:p>
    <w:p>
      <w:pPr>
        <w:spacing w:line="580" w:lineRule="exact"/>
        <w:ind w:firstLine="198" w:firstLineChars="71"/>
        <w:rPr>
          <w:rFonts w:ascii="Times New Roman" w:hAnsi="Times New Roman" w:eastAsia="仿宋_GB2312"/>
          <w:snapToGrid w:val="0"/>
          <w:kern w:val="0"/>
          <w:sz w:val="28"/>
          <w:szCs w:val="28"/>
        </w:rPr>
        <w:sectPr>
          <w:pgSz w:w="11906" w:h="16838"/>
          <w:pgMar w:top="1440" w:right="1800" w:bottom="1440" w:left="1800" w:header="851" w:footer="992" w:gutter="0"/>
          <w:cols w:space="720" w:num="1"/>
          <w:docGrid w:linePitch="326" w:charSpace="0"/>
        </w:sectPr>
      </w:pPr>
    </w:p>
    <w:p>
      <w:pPr>
        <w:spacing w:line="580" w:lineRule="exact"/>
        <w:ind w:firstLineChars="71"/>
        <w:jc w:val="center"/>
        <w:rPr>
          <w:rFonts w:ascii="Times New Roman" w:hAnsi="Times New Roman" w:eastAsia="仿宋_GB2312"/>
          <w:b/>
          <w:bCs/>
          <w:snapToGrid w:val="0"/>
          <w:kern w:val="0"/>
          <w:sz w:val="28"/>
          <w:szCs w:val="28"/>
        </w:rPr>
      </w:pPr>
      <w:r>
        <w:rPr>
          <w:rFonts w:hint="eastAsia" w:ascii="Times New Roman" w:hAnsi="Times New Roman" w:eastAsia="仿宋_GB2312"/>
          <w:b/>
          <w:bCs/>
          <w:snapToGrid w:val="0"/>
          <w:kern w:val="0"/>
          <w:sz w:val="28"/>
          <w:szCs w:val="28"/>
        </w:rPr>
        <w:t>表4</w:t>
      </w:r>
      <w:r>
        <w:rPr>
          <w:rFonts w:ascii="Times New Roman" w:hAnsi="Times New Roman" w:eastAsia="仿宋_GB2312"/>
          <w:b/>
          <w:bCs/>
          <w:snapToGrid w:val="0"/>
          <w:kern w:val="0"/>
          <w:sz w:val="28"/>
          <w:szCs w:val="28"/>
        </w:rPr>
        <w:t xml:space="preserve">.3-1 </w:t>
      </w:r>
      <w:r>
        <w:rPr>
          <w:rFonts w:hint="eastAsia" w:ascii="Times New Roman" w:hAnsi="Times New Roman" w:eastAsia="仿宋_GB2312"/>
          <w:b/>
          <w:bCs/>
          <w:snapToGrid w:val="0"/>
          <w:kern w:val="0"/>
          <w:sz w:val="28"/>
          <w:szCs w:val="28"/>
        </w:rPr>
        <w:t>整治措施清单</w:t>
      </w:r>
    </w:p>
    <w:tbl>
      <w:tblPr>
        <w:tblStyle w:val="31"/>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0"/>
        <w:gridCol w:w="1049"/>
        <w:gridCol w:w="1151"/>
        <w:gridCol w:w="865"/>
        <w:gridCol w:w="1151"/>
        <w:gridCol w:w="3459"/>
        <w:gridCol w:w="5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blHeader/>
        </w:trPr>
        <w:tc>
          <w:tcPr>
            <w:tcW w:w="187"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序号</w:t>
            </w:r>
          </w:p>
        </w:tc>
        <w:tc>
          <w:tcPr>
            <w:tcW w:w="370"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所在乡镇</w:t>
            </w:r>
          </w:p>
        </w:tc>
        <w:tc>
          <w:tcPr>
            <w:tcW w:w="406" w:type="pct"/>
            <w:vAlign w:val="center"/>
          </w:tcPr>
          <w:p>
            <w:pPr>
              <w:spacing w:line="240" w:lineRule="auto"/>
              <w:ind w:firstLine="0" w:firstLineChars="0"/>
              <w:jc w:val="center"/>
              <w:rPr>
                <w:rFonts w:ascii="Times New Roman" w:hAnsi="Times New Roman" w:eastAsia="仿宋_GB2312"/>
                <w:b/>
                <w:sz w:val="21"/>
                <w:szCs w:val="21"/>
              </w:rPr>
            </w:pPr>
            <w:r>
              <w:rPr>
                <w:rFonts w:hint="eastAsia" w:ascii="Times New Roman" w:hAnsi="Times New Roman" w:eastAsia="仿宋_GB2312"/>
                <w:b/>
                <w:sz w:val="21"/>
                <w:szCs w:val="21"/>
              </w:rPr>
              <w:t>水源地</w:t>
            </w:r>
          </w:p>
        </w:tc>
        <w:tc>
          <w:tcPr>
            <w:tcW w:w="305"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保护区级别</w:t>
            </w:r>
          </w:p>
        </w:tc>
        <w:tc>
          <w:tcPr>
            <w:tcW w:w="406"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问题类型</w:t>
            </w:r>
          </w:p>
        </w:tc>
        <w:tc>
          <w:tcPr>
            <w:tcW w:w="1220"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问题描述</w:t>
            </w:r>
          </w:p>
        </w:tc>
        <w:tc>
          <w:tcPr>
            <w:tcW w:w="2105" w:type="pct"/>
            <w:vAlign w:val="center"/>
          </w:tcPr>
          <w:p>
            <w:pPr>
              <w:spacing w:line="240" w:lineRule="auto"/>
              <w:ind w:firstLine="0" w:firstLineChars="0"/>
              <w:jc w:val="center"/>
              <w:rPr>
                <w:rFonts w:ascii="Times New Roman" w:hAnsi="Times New Roman" w:eastAsia="仿宋_GB2312"/>
                <w:b/>
                <w:sz w:val="21"/>
                <w:szCs w:val="21"/>
              </w:rPr>
            </w:pPr>
            <w:r>
              <w:rPr>
                <w:rFonts w:ascii="Times New Roman" w:hAnsi="Times New Roman" w:eastAsia="仿宋_GB2312"/>
                <w:b/>
                <w:sz w:val="21"/>
                <w:szCs w:val="21"/>
              </w:rPr>
              <w:t>整治措施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1</w:t>
            </w:r>
          </w:p>
        </w:tc>
        <w:tc>
          <w:tcPr>
            <w:tcW w:w="370"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龙岗镇</w:t>
            </w:r>
          </w:p>
        </w:tc>
        <w:tc>
          <w:tcPr>
            <w:tcW w:w="406"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华光潭一级水库</w:t>
            </w: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紧邻道路</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一级保护区沿线为村庄道路；</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建设饮用水水源保护区道路挡水墙、防撞护栏、隔离护栏等防护措施，做好与饮用水水体的隔离防护，避免人类活动对水质的影响。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一级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农污设施</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沿线部分村庄农污设施设置在河道周边，存在安全隐患。</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摸排梳理一级保护区内农污设施，加强监管，生活污水处理后，原则上需引到保护区外排放，不具备外引条件的，可通过农田灌溉、植树、造林等方式回用，禁止随意排放。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农业面源</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r>
              <w:rPr>
                <w:rFonts w:ascii="Times New Roman" w:hAnsi="Times New Roman" w:eastAsia="仿宋_GB2312"/>
                <w:sz w:val="21"/>
                <w:szCs w:val="21"/>
              </w:rPr>
              <w:t>保护区</w:t>
            </w:r>
            <w:r>
              <w:rPr>
                <w:rFonts w:hint="eastAsia" w:ascii="Times New Roman" w:hAnsi="Times New Roman" w:eastAsia="仿宋_GB2312"/>
                <w:sz w:val="21"/>
                <w:szCs w:val="21"/>
              </w:rPr>
              <w:t>内</w:t>
            </w:r>
            <w:r>
              <w:rPr>
                <w:rFonts w:ascii="Times New Roman" w:hAnsi="Times New Roman" w:eastAsia="仿宋_GB2312"/>
                <w:sz w:val="21"/>
                <w:szCs w:val="21"/>
              </w:rPr>
              <w:t>存在</w:t>
            </w:r>
            <w:r>
              <w:rPr>
                <w:rFonts w:hint="eastAsia" w:ascii="Times New Roman" w:hAnsi="Times New Roman" w:eastAsia="仿宋_GB2312"/>
                <w:sz w:val="21"/>
                <w:szCs w:val="21"/>
              </w:rPr>
              <w:t>永久基本农田</w:t>
            </w:r>
            <w:r>
              <w:rPr>
                <w:rFonts w:ascii="Times New Roman" w:hAnsi="Times New Roman" w:eastAsia="仿宋_GB2312"/>
                <w:sz w:val="21"/>
                <w:szCs w:val="21"/>
              </w:rPr>
              <w:t>和</w:t>
            </w:r>
            <w:r>
              <w:rPr>
                <w:rFonts w:hint="eastAsia" w:ascii="Times New Roman" w:hAnsi="Times New Roman" w:eastAsia="仿宋_GB2312"/>
                <w:sz w:val="21"/>
                <w:szCs w:val="21"/>
              </w:rPr>
              <w:t>山核桃林。</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保护区内无新增农业种植和山核桃林；保护区划分前已有的农业种植和经济林，禁止施用化肥、农药。同时进一步深化“肥药两制”改革，实施农药购买实名制、化肥使用定额制，加强农业面源污染防控。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二级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风险隐患</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二级保护区内存在中国石化加油站</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强化监管，督促加油站做好环境风险事故应急预案，并完成双层罐体改造。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二级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餐饮项目</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二级保护区内存在宾馆酒店少许</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限期拆除或关停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16" w:hRule="atLeast"/>
        </w:trPr>
        <w:tc>
          <w:tcPr>
            <w:tcW w:w="187"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2</w:t>
            </w:r>
          </w:p>
        </w:tc>
        <w:tc>
          <w:tcPr>
            <w:tcW w:w="370"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河桥镇</w:t>
            </w:r>
          </w:p>
        </w:tc>
        <w:tc>
          <w:tcPr>
            <w:tcW w:w="406"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江岭水库</w:t>
            </w: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一级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紧邻道路</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一级保护区沿线有村庄道路河白线</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建设饮用水水源保护区道路挡水墙、防撞护栏、隔离护栏等防护措施，做好与饮用水水体的隔离防护，避免人类活动对水质的影响。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农业面源</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r>
              <w:rPr>
                <w:rFonts w:ascii="Times New Roman" w:hAnsi="Times New Roman" w:eastAsia="仿宋_GB2312"/>
                <w:sz w:val="21"/>
                <w:szCs w:val="21"/>
              </w:rPr>
              <w:t>保护区</w:t>
            </w:r>
            <w:r>
              <w:rPr>
                <w:rFonts w:hint="eastAsia" w:ascii="Times New Roman" w:hAnsi="Times New Roman" w:eastAsia="仿宋_GB2312"/>
                <w:sz w:val="21"/>
                <w:szCs w:val="21"/>
              </w:rPr>
              <w:t>内</w:t>
            </w:r>
            <w:r>
              <w:rPr>
                <w:rFonts w:ascii="Times New Roman" w:hAnsi="Times New Roman" w:eastAsia="仿宋_GB2312"/>
                <w:sz w:val="21"/>
                <w:szCs w:val="21"/>
              </w:rPr>
              <w:t>存在</w:t>
            </w:r>
            <w:r>
              <w:rPr>
                <w:rFonts w:hint="eastAsia" w:ascii="Times New Roman" w:hAnsi="Times New Roman" w:eastAsia="仿宋_GB2312"/>
                <w:sz w:val="21"/>
                <w:szCs w:val="21"/>
              </w:rPr>
              <w:t>永久基本农田</w:t>
            </w:r>
            <w:r>
              <w:rPr>
                <w:rFonts w:ascii="Times New Roman" w:hAnsi="Times New Roman" w:eastAsia="仿宋_GB2312"/>
                <w:sz w:val="21"/>
                <w:szCs w:val="21"/>
              </w:rPr>
              <w:t>和</w:t>
            </w:r>
            <w:r>
              <w:rPr>
                <w:rFonts w:hint="eastAsia" w:ascii="Times New Roman" w:hAnsi="Times New Roman" w:eastAsia="仿宋_GB2312"/>
                <w:sz w:val="21"/>
                <w:szCs w:val="21"/>
              </w:rPr>
              <w:t>山核桃林。</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保护区内无新增农业种植和山核桃林；保护区划分前已有的农业种植和山核桃林，禁止施用化肥、农药。同时进一步深化“肥药两制”改革，实施农药购买实名制、化肥使用定额制，加强农业面源污染防控。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3</w:t>
            </w:r>
          </w:p>
        </w:tc>
        <w:tc>
          <w:tcPr>
            <w:tcW w:w="370"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太湖源镇</w:t>
            </w:r>
          </w:p>
        </w:tc>
        <w:tc>
          <w:tcPr>
            <w:tcW w:w="406" w:type="pct"/>
            <w:vMerge w:val="restar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夏村水库</w:t>
            </w: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紧邻道路</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一级保护区沿线有村庄道路众潘线</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建设饮用水水源保护区道路挡水墙、防撞护栏、隔离护栏等防护措施，做好与饮用水水体的隔离防护，避免人类活动对水质的影响。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187"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70"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406" w:type="pct"/>
            <w:vMerge w:val="continue"/>
            <w:vAlign w:val="center"/>
          </w:tcPr>
          <w:p>
            <w:pPr>
              <w:spacing w:line="240" w:lineRule="auto"/>
              <w:ind w:firstLine="0" w:firstLineChars="0"/>
              <w:jc w:val="center"/>
              <w:rPr>
                <w:rFonts w:ascii="Times New Roman" w:hAnsi="Times New Roman" w:eastAsia="仿宋_GB2312"/>
                <w:sz w:val="21"/>
                <w:szCs w:val="21"/>
              </w:rPr>
            </w:pPr>
          </w:p>
        </w:tc>
        <w:tc>
          <w:tcPr>
            <w:tcW w:w="305"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p>
        </w:tc>
        <w:tc>
          <w:tcPr>
            <w:tcW w:w="406"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农业面源</w:t>
            </w:r>
          </w:p>
        </w:tc>
        <w:tc>
          <w:tcPr>
            <w:tcW w:w="1220" w:type="pct"/>
            <w:vAlign w:val="center"/>
          </w:tcPr>
          <w:p>
            <w:pPr>
              <w:spacing w:line="240" w:lineRule="auto"/>
              <w:ind w:firstLine="0" w:firstLineChars="0"/>
              <w:jc w:val="center"/>
              <w:rPr>
                <w:rFonts w:ascii="Times New Roman" w:hAnsi="Times New Roman" w:eastAsia="仿宋_GB2312"/>
                <w:sz w:val="21"/>
                <w:szCs w:val="21"/>
              </w:rPr>
            </w:pPr>
            <w:r>
              <w:rPr>
                <w:rFonts w:ascii="Times New Roman" w:hAnsi="Times New Roman" w:eastAsia="仿宋_GB2312"/>
                <w:sz w:val="21"/>
                <w:szCs w:val="21"/>
              </w:rPr>
              <w:t>一级</w:t>
            </w:r>
            <w:r>
              <w:rPr>
                <w:rFonts w:hint="eastAsia" w:ascii="Times New Roman" w:hAnsi="Times New Roman" w:eastAsia="仿宋_GB2312"/>
                <w:sz w:val="21"/>
                <w:szCs w:val="21"/>
              </w:rPr>
              <w:t>、二级</w:t>
            </w:r>
            <w:r>
              <w:rPr>
                <w:rFonts w:ascii="Times New Roman" w:hAnsi="Times New Roman" w:eastAsia="仿宋_GB2312"/>
                <w:sz w:val="21"/>
                <w:szCs w:val="21"/>
              </w:rPr>
              <w:t>保护区</w:t>
            </w:r>
            <w:r>
              <w:rPr>
                <w:rFonts w:hint="eastAsia" w:ascii="Times New Roman" w:hAnsi="Times New Roman" w:eastAsia="仿宋_GB2312"/>
                <w:sz w:val="21"/>
                <w:szCs w:val="21"/>
              </w:rPr>
              <w:t>内</w:t>
            </w:r>
            <w:r>
              <w:rPr>
                <w:rFonts w:ascii="Times New Roman" w:hAnsi="Times New Roman" w:eastAsia="仿宋_GB2312"/>
                <w:sz w:val="21"/>
                <w:szCs w:val="21"/>
              </w:rPr>
              <w:t>存在</w:t>
            </w:r>
            <w:r>
              <w:rPr>
                <w:rFonts w:hint="eastAsia" w:ascii="Times New Roman" w:hAnsi="Times New Roman" w:eastAsia="仿宋_GB2312"/>
                <w:sz w:val="21"/>
                <w:szCs w:val="21"/>
              </w:rPr>
              <w:t>永久基本农田</w:t>
            </w:r>
            <w:r>
              <w:rPr>
                <w:rFonts w:ascii="Times New Roman" w:hAnsi="Times New Roman" w:eastAsia="仿宋_GB2312"/>
                <w:sz w:val="21"/>
                <w:szCs w:val="21"/>
              </w:rPr>
              <w:t>和</w:t>
            </w:r>
            <w:r>
              <w:rPr>
                <w:rFonts w:hint="eastAsia" w:ascii="Times New Roman" w:hAnsi="Times New Roman" w:eastAsia="仿宋_GB2312"/>
                <w:sz w:val="21"/>
                <w:szCs w:val="21"/>
              </w:rPr>
              <w:t>经济林。</w:t>
            </w:r>
          </w:p>
        </w:tc>
        <w:tc>
          <w:tcPr>
            <w:tcW w:w="2105" w:type="pct"/>
            <w:vAlign w:val="center"/>
          </w:tcPr>
          <w:p>
            <w:pPr>
              <w:spacing w:line="240" w:lineRule="auto"/>
              <w:ind w:firstLine="0" w:firstLineChars="0"/>
              <w:jc w:val="center"/>
              <w:rPr>
                <w:rFonts w:ascii="Times New Roman" w:hAnsi="Times New Roman" w:eastAsia="仿宋_GB2312"/>
                <w:sz w:val="21"/>
                <w:szCs w:val="21"/>
              </w:rPr>
            </w:pPr>
            <w:r>
              <w:rPr>
                <w:rFonts w:hint="eastAsia" w:ascii="Times New Roman" w:hAnsi="Times New Roman" w:eastAsia="仿宋_GB2312"/>
                <w:sz w:val="21"/>
                <w:szCs w:val="21"/>
              </w:rPr>
              <w:t>保护区内无新增农业种植和经济林；保护区划分前已有的农业种植和经济林，禁止施用化肥、农药。同时进一步深化“肥药两制”改革，实施农药购买实名制、化肥使用定额制，加强农业面源污染防控。</w:t>
            </w:r>
          </w:p>
        </w:tc>
      </w:tr>
    </w:tbl>
    <w:p>
      <w:pPr>
        <w:spacing w:line="580" w:lineRule="exact"/>
        <w:ind w:firstLine="198" w:firstLineChars="71"/>
        <w:jc w:val="center"/>
        <w:rPr>
          <w:rFonts w:ascii="Times New Roman" w:hAnsi="Times New Roman" w:eastAsia="仿宋_GB2312"/>
          <w:snapToGrid w:val="0"/>
          <w:kern w:val="0"/>
          <w:sz w:val="28"/>
          <w:szCs w:val="28"/>
        </w:rPr>
      </w:pPr>
    </w:p>
    <w:p>
      <w:pPr>
        <w:spacing w:line="580" w:lineRule="exact"/>
        <w:ind w:firstLine="198" w:firstLineChars="71"/>
        <w:rPr>
          <w:rFonts w:ascii="Times New Roman" w:hAnsi="Times New Roman" w:eastAsia="仿宋_GB2312"/>
          <w:snapToGrid w:val="0"/>
          <w:kern w:val="0"/>
          <w:sz w:val="28"/>
          <w:szCs w:val="28"/>
        </w:rPr>
      </w:pPr>
    </w:p>
    <w:p>
      <w:pPr>
        <w:spacing w:line="580" w:lineRule="exact"/>
        <w:ind w:firstLine="198" w:firstLineChars="71"/>
        <w:rPr>
          <w:rFonts w:ascii="Times New Roman" w:hAnsi="Times New Roman" w:eastAsia="仿宋_GB2312"/>
          <w:snapToGrid w:val="0"/>
          <w:kern w:val="0"/>
          <w:sz w:val="28"/>
          <w:szCs w:val="28"/>
        </w:rPr>
        <w:sectPr>
          <w:pgSz w:w="16838" w:h="11906" w:orient="landscape"/>
          <w:pgMar w:top="1800" w:right="1440" w:bottom="1800" w:left="1440" w:header="851" w:footer="992" w:gutter="0"/>
          <w:cols w:space="720" w:num="1"/>
          <w:docGrid w:linePitch="326" w:charSpace="0"/>
        </w:sectPr>
      </w:pPr>
    </w:p>
    <w:p>
      <w:pPr>
        <w:pStyle w:val="3"/>
        <w:spacing w:before="120" w:beforeLines="50" w:afterLines="50" w:line="580" w:lineRule="exact"/>
        <w:rPr>
          <w:rFonts w:ascii="Times New Roman" w:hAnsi="Times New Roman" w:eastAsia="仿宋_GB2312"/>
        </w:rPr>
      </w:pPr>
      <w:bookmarkStart w:id="112" w:name="_Toc65568814"/>
      <w:bookmarkStart w:id="113" w:name="_Toc68612232"/>
      <w:r>
        <w:rPr>
          <w:rFonts w:ascii="Times New Roman" w:hAnsi="Times New Roman" w:eastAsia="仿宋_GB2312"/>
        </w:rPr>
        <w:t xml:space="preserve">4.4 </w:t>
      </w:r>
      <w:r>
        <w:rPr>
          <w:rFonts w:hint="eastAsia" w:ascii="Times New Roman" w:hAnsi="Times New Roman" w:eastAsia="仿宋_GB2312"/>
        </w:rPr>
        <w:t>完善</w:t>
      </w:r>
      <w:r>
        <w:rPr>
          <w:rFonts w:ascii="Times New Roman" w:hAnsi="Times New Roman" w:eastAsia="仿宋_GB2312"/>
        </w:rPr>
        <w:t>环境预警监控体系</w:t>
      </w:r>
      <w:bookmarkEnd w:id="112"/>
      <w:bookmarkEnd w:id="113"/>
    </w:p>
    <w:p>
      <w:pPr>
        <w:pStyle w:val="91"/>
        <w:spacing w:before="0" w:after="0" w:line="580" w:lineRule="exact"/>
        <w:ind w:left="0" w:leftChars="0" w:firstLine="562" w:firstLineChars="200"/>
        <w:rPr>
          <w:rFonts w:eastAsia="仿宋_GB2312"/>
          <w:color w:val="auto"/>
        </w:rPr>
      </w:pPr>
      <w:bookmarkStart w:id="114" w:name="_Toc68612233"/>
      <w:r>
        <w:rPr>
          <w:rFonts w:eastAsia="仿宋_GB2312"/>
          <w:color w:val="auto"/>
        </w:rPr>
        <w:t>4.4.1 完善监测体系</w:t>
      </w:r>
      <w:bookmarkEnd w:id="114"/>
    </w:p>
    <w:p>
      <w:pPr>
        <w:spacing w:line="580" w:lineRule="exact"/>
        <w:ind w:firstLine="560"/>
        <w:rPr>
          <w:rFonts w:ascii="Times New Roman" w:hAnsi="Times New Roman" w:eastAsia="仿宋_GB2312"/>
          <w:sz w:val="28"/>
          <w:szCs w:val="28"/>
        </w:rPr>
      </w:pPr>
      <w:r>
        <w:rPr>
          <w:rFonts w:ascii="Times New Roman" w:hAnsi="Times New Roman" w:eastAsia="仿宋_GB2312"/>
          <w:bCs/>
          <w:snapToGrid w:val="0"/>
          <w:kern w:val="0"/>
          <w:sz w:val="28"/>
          <w:szCs w:val="28"/>
        </w:rPr>
        <w:t>按照水功能区水</w:t>
      </w:r>
      <w:r>
        <w:rPr>
          <w:rFonts w:ascii="Times New Roman" w:hAnsi="Times New Roman" w:eastAsia="仿宋_GB2312"/>
          <w:snapToGrid w:val="0"/>
          <w:kern w:val="0"/>
          <w:sz w:val="28"/>
          <w:szCs w:val="28"/>
        </w:rPr>
        <w:t>环境</w:t>
      </w:r>
      <w:r>
        <w:rPr>
          <w:rFonts w:ascii="Times New Roman" w:hAnsi="Times New Roman" w:eastAsia="仿宋_GB2312"/>
          <w:bCs/>
          <w:snapToGrid w:val="0"/>
          <w:kern w:val="0"/>
          <w:sz w:val="28"/>
          <w:szCs w:val="28"/>
        </w:rPr>
        <w:t>功能区划和饮用水水源保护区管理的要求，开展饮用水源地的</w:t>
      </w:r>
      <w:r>
        <w:rPr>
          <w:rFonts w:ascii="Times New Roman" w:hAnsi="Times New Roman" w:eastAsia="仿宋_GB2312"/>
          <w:snapToGrid w:val="0"/>
          <w:kern w:val="0"/>
          <w:sz w:val="28"/>
          <w:szCs w:val="28"/>
        </w:rPr>
        <w:t>水质监测，监视水源地水质变化。在区域常规水质监测的基础上，强化有毒有害化学污染物的监测控制能力，大力提高环境监测</w:t>
      </w:r>
      <w:r>
        <w:rPr>
          <w:rFonts w:ascii="Times New Roman" w:hAnsi="Times New Roman" w:eastAsia="仿宋_GB2312"/>
          <w:bCs/>
          <w:snapToGrid w:val="0"/>
          <w:kern w:val="0"/>
          <w:sz w:val="28"/>
          <w:szCs w:val="28"/>
        </w:rPr>
        <w:t>系统</w:t>
      </w:r>
      <w:r>
        <w:rPr>
          <w:rFonts w:ascii="Times New Roman" w:hAnsi="Times New Roman" w:eastAsia="仿宋_GB2312"/>
          <w:snapToGrid w:val="0"/>
          <w:kern w:val="0"/>
          <w:sz w:val="28"/>
          <w:szCs w:val="28"/>
        </w:rPr>
        <w:t>的机动、快速反应和自动测报能力，提高水质监测工作的整体水平。</w:t>
      </w:r>
      <w:r>
        <w:rPr>
          <w:rFonts w:hint="eastAsia" w:ascii="Times New Roman" w:hAnsi="Times New Roman" w:eastAsia="仿宋_GB2312"/>
          <w:sz w:val="28"/>
          <w:szCs w:val="28"/>
        </w:rPr>
        <w:t>“千吨万人”饮用水水源需开展水质常规监测。对存在风险隐患的饮用水水源，要加密水质及污染特征因子监测频次，及时掌握水质变化状况，同时要加强应急监测能力建设。</w:t>
      </w:r>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常规监测每月监测项目：《地表水环境质量标准》（GB3838-2002）表1的基本项目（23项，化学需氧量除外）、表2的补充项目（5项），共28项；常规监测断面每1年全分析项目：《地表水环境质量标准》（GB3838-2002）中的109项。</w:t>
      </w:r>
    </w:p>
    <w:p>
      <w:pPr>
        <w:pStyle w:val="91"/>
        <w:spacing w:before="0" w:after="0" w:line="580" w:lineRule="exact"/>
        <w:ind w:left="0" w:leftChars="0" w:firstLine="562" w:firstLineChars="200"/>
        <w:rPr>
          <w:rFonts w:eastAsia="仿宋_GB2312"/>
          <w:color w:val="auto"/>
        </w:rPr>
      </w:pPr>
      <w:bookmarkStart w:id="115" w:name="_Toc530829407"/>
      <w:bookmarkStart w:id="116" w:name="_Toc535348093"/>
      <w:bookmarkStart w:id="117" w:name="_Toc68612234"/>
      <w:r>
        <w:rPr>
          <w:rFonts w:eastAsia="仿宋_GB2312"/>
          <w:color w:val="auto"/>
        </w:rPr>
        <w:t>4.4.2 提高监管能力</w:t>
      </w:r>
      <w:bookmarkEnd w:id="115"/>
      <w:bookmarkEnd w:id="116"/>
      <w:bookmarkEnd w:id="117"/>
    </w:p>
    <w:p>
      <w:pPr>
        <w:spacing w:line="580" w:lineRule="exact"/>
        <w:ind w:firstLine="560"/>
        <w:rPr>
          <w:rFonts w:ascii="Times New Roman" w:hAnsi="Times New Roman" w:eastAsia="仿宋_GB2312"/>
          <w:sz w:val="28"/>
          <w:szCs w:val="28"/>
        </w:rPr>
      </w:pPr>
      <w:r>
        <w:rPr>
          <w:rFonts w:hint="eastAsia" w:ascii="Times New Roman" w:hAnsi="Times New Roman" w:eastAsia="仿宋_GB2312"/>
          <w:sz w:val="28"/>
          <w:szCs w:val="28"/>
        </w:rPr>
        <w:t>强化</w:t>
      </w:r>
      <w:r>
        <w:rPr>
          <w:rFonts w:ascii="Times New Roman" w:hAnsi="Times New Roman" w:eastAsia="仿宋_GB2312"/>
          <w:sz w:val="28"/>
          <w:szCs w:val="28"/>
        </w:rPr>
        <w:t>饮用水水源保护领导工作</w:t>
      </w:r>
      <w:r>
        <w:rPr>
          <w:rFonts w:ascii="Times New Roman" w:hAnsi="Times New Roman" w:eastAsia="仿宋_GB2312"/>
          <w:snapToGrid w:val="0"/>
          <w:kern w:val="0"/>
          <w:sz w:val="28"/>
          <w:szCs w:val="28"/>
        </w:rPr>
        <w:t>小组</w:t>
      </w:r>
      <w:r>
        <w:rPr>
          <w:rFonts w:hint="eastAsia" w:ascii="Times New Roman" w:hAnsi="Times New Roman" w:eastAsia="仿宋_GB2312"/>
          <w:snapToGrid w:val="0"/>
          <w:kern w:val="0"/>
          <w:sz w:val="28"/>
          <w:szCs w:val="28"/>
        </w:rPr>
        <w:t>职责</w:t>
      </w:r>
      <w:r>
        <w:rPr>
          <w:rFonts w:ascii="Times New Roman" w:hAnsi="Times New Roman" w:eastAsia="仿宋_GB2312"/>
          <w:sz w:val="28"/>
          <w:szCs w:val="28"/>
        </w:rPr>
        <w:t>，</w:t>
      </w:r>
      <w:r>
        <w:rPr>
          <w:rFonts w:hint="eastAsia" w:ascii="Times New Roman" w:hAnsi="Times New Roman" w:eastAsia="仿宋_GB2312"/>
          <w:sz w:val="28"/>
          <w:szCs w:val="28"/>
        </w:rPr>
        <w:t>督促</w:t>
      </w:r>
      <w:r>
        <w:rPr>
          <w:rFonts w:ascii="Times New Roman" w:hAnsi="Times New Roman" w:eastAsia="仿宋_GB2312"/>
          <w:sz w:val="28"/>
          <w:szCs w:val="28"/>
        </w:rPr>
        <w:t>各乡镇和有关部门根据保护区要求编制保护方案，依法</w:t>
      </w:r>
      <w:r>
        <w:rPr>
          <w:rFonts w:ascii="Times New Roman" w:hAnsi="Times New Roman" w:eastAsia="仿宋_GB2312"/>
          <w:snapToGrid w:val="0"/>
          <w:kern w:val="0"/>
          <w:sz w:val="28"/>
          <w:szCs w:val="28"/>
        </w:rPr>
        <w:t>落实</w:t>
      </w:r>
      <w:r>
        <w:rPr>
          <w:rFonts w:ascii="Times New Roman" w:hAnsi="Times New Roman" w:eastAsia="仿宋_GB2312"/>
          <w:sz w:val="28"/>
          <w:szCs w:val="28"/>
        </w:rPr>
        <w:t>监督和检查，协调和解决保护区实施中的相关问题。地方政府应进一步明确，在本次调整区域内不得规划法律法规明令禁止的建设项目，并在其他相关规划中保持</w:t>
      </w:r>
      <w:r>
        <w:rPr>
          <w:rFonts w:hint="eastAsia" w:ascii="Times New Roman" w:hAnsi="Times New Roman" w:eastAsia="仿宋_GB2312"/>
          <w:sz w:val="28"/>
          <w:szCs w:val="28"/>
        </w:rPr>
        <w:t>区域建设与水源保护相</w:t>
      </w:r>
      <w:r>
        <w:rPr>
          <w:rFonts w:ascii="Times New Roman" w:hAnsi="Times New Roman" w:eastAsia="仿宋_GB2312"/>
          <w:sz w:val="28"/>
          <w:szCs w:val="28"/>
        </w:rPr>
        <w:t>协调。</w:t>
      </w:r>
    </w:p>
    <w:p>
      <w:pPr>
        <w:spacing w:line="580" w:lineRule="exact"/>
        <w:ind w:firstLine="560"/>
        <w:rPr>
          <w:rFonts w:ascii="Times New Roman" w:hAnsi="Times New Roman" w:eastAsia="仿宋_GB2312"/>
          <w:sz w:val="28"/>
          <w:szCs w:val="28"/>
        </w:rPr>
      </w:pPr>
      <w:r>
        <w:rPr>
          <w:rFonts w:ascii="Times New Roman" w:hAnsi="Times New Roman" w:eastAsia="仿宋_GB2312"/>
          <w:snapToGrid w:val="0"/>
          <w:kern w:val="0"/>
          <w:sz w:val="28"/>
          <w:szCs w:val="28"/>
        </w:rPr>
        <w:t>建设环境监控指挥中心，提高环保监管现代化能力；通过内部资源整合充实一线执法力量，落实污染源管理责任制；建立长效执法机制，加大处罚力度，重点查处群众反映强烈的环境违法行为。</w:t>
      </w:r>
      <w:r>
        <w:rPr>
          <w:rFonts w:ascii="Times New Roman" w:hAnsi="Times New Roman" w:eastAsia="仿宋_GB2312"/>
          <w:sz w:val="28"/>
          <w:szCs w:val="28"/>
        </w:rPr>
        <w:t>加强饮用水水源保护区周边管理，对于新增的保护区范围要规范化设置饮用水保护区标识标牌，保护区外围应做好隔离防护网等物理隔离措施，加强保护区日常巡查监管，严禁周边居民人为活动对饮用水水源保护区造成影响。</w:t>
      </w:r>
    </w:p>
    <w:p>
      <w:pPr>
        <w:pStyle w:val="91"/>
        <w:spacing w:before="0" w:after="0" w:line="580" w:lineRule="exact"/>
        <w:ind w:left="0" w:leftChars="0" w:firstLine="562" w:firstLineChars="200"/>
        <w:rPr>
          <w:rFonts w:eastAsia="仿宋_GB2312"/>
          <w:color w:val="auto"/>
        </w:rPr>
      </w:pPr>
      <w:bookmarkStart w:id="118" w:name="_Toc535348095"/>
      <w:bookmarkStart w:id="119" w:name="_Toc68612235"/>
      <w:r>
        <w:rPr>
          <w:rFonts w:eastAsia="仿宋_GB2312"/>
          <w:color w:val="auto"/>
        </w:rPr>
        <w:t>4.4.3 完善“一源一档</w:t>
      </w:r>
      <w:bookmarkEnd w:id="118"/>
      <w:r>
        <w:rPr>
          <w:rFonts w:eastAsia="仿宋_GB2312"/>
          <w:color w:val="auto"/>
        </w:rPr>
        <w:t>”</w:t>
      </w:r>
      <w:bookmarkEnd w:id="119"/>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重视饮用水源地档案工作，强化工作责任，落实到人，建立健全档案管理制度。每年开展一次自查工作，及时更新和补充相关材料，合理分类、清楚完整。每年对饮用水源地的巡查必须记录在案，内容包括巡查时间、人员，发现的问题，采取的措施，整改完成情况等。</w:t>
      </w:r>
    </w:p>
    <w:p>
      <w:pPr>
        <w:pStyle w:val="3"/>
        <w:spacing w:before="120" w:beforeLines="50" w:afterLines="50" w:line="580" w:lineRule="exact"/>
        <w:rPr>
          <w:rFonts w:ascii="Times New Roman" w:hAnsi="Times New Roman" w:eastAsia="仿宋_GB2312"/>
        </w:rPr>
      </w:pPr>
      <w:bookmarkStart w:id="120" w:name="_Toc65568815"/>
      <w:bookmarkStart w:id="121" w:name="_Toc341177834"/>
      <w:bookmarkStart w:id="122" w:name="_Toc68612236"/>
      <w:r>
        <w:rPr>
          <w:rFonts w:ascii="Times New Roman" w:hAnsi="Times New Roman" w:eastAsia="仿宋_GB2312"/>
        </w:rPr>
        <w:t>4.5加强环境风险防范与控制</w:t>
      </w:r>
      <w:bookmarkEnd w:id="120"/>
      <w:bookmarkEnd w:id="121"/>
      <w:bookmarkEnd w:id="122"/>
      <w:bookmarkStart w:id="123" w:name="_Toc341177836"/>
      <w:r>
        <w:rPr>
          <w:rFonts w:hint="eastAsia" w:eastAsia="仿宋_GB2312"/>
        </w:rPr>
        <w:t xml:space="preserve"> </w:t>
      </w:r>
    </w:p>
    <w:p>
      <w:pPr>
        <w:pStyle w:val="91"/>
        <w:spacing w:before="0" w:after="0" w:line="580" w:lineRule="exact"/>
        <w:ind w:left="0" w:leftChars="0" w:firstLine="562" w:firstLineChars="200"/>
        <w:rPr>
          <w:rFonts w:eastAsia="仿宋_GB2312"/>
          <w:color w:val="auto"/>
        </w:rPr>
      </w:pPr>
      <w:bookmarkStart w:id="124" w:name="_Toc68612237"/>
      <w:r>
        <w:rPr>
          <w:rFonts w:hint="eastAsia" w:eastAsia="仿宋_GB2312"/>
          <w:color w:val="auto"/>
        </w:rPr>
        <w:t>4</w:t>
      </w:r>
      <w:r>
        <w:rPr>
          <w:rFonts w:eastAsia="仿宋_GB2312"/>
          <w:color w:val="auto"/>
        </w:rPr>
        <w:t>.5.1预防蓝藻爆发</w:t>
      </w:r>
      <w:bookmarkEnd w:id="123"/>
      <w:bookmarkEnd w:id="124"/>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采取有效措施，严格控制携带富营养盐的农业面源入库，有效防止水体富营养化。推行污水治理设施平台“第三方运维”模式，以此强化设施运维日常监管和智能化</w:t>
      </w:r>
      <w:r>
        <w:rPr>
          <w:rFonts w:ascii="Times New Roman" w:hAnsi="Times New Roman" w:eastAsia="仿宋_GB2312"/>
          <w:bCs/>
          <w:snapToGrid w:val="0"/>
          <w:kern w:val="0"/>
          <w:sz w:val="28"/>
          <w:szCs w:val="28"/>
        </w:rPr>
        <w:t>监控</w:t>
      </w:r>
      <w:r>
        <w:rPr>
          <w:rFonts w:ascii="Times New Roman" w:hAnsi="Times New Roman" w:eastAsia="仿宋_GB2312"/>
          <w:snapToGrid w:val="0"/>
          <w:kern w:val="0"/>
          <w:sz w:val="28"/>
          <w:szCs w:val="28"/>
        </w:rPr>
        <w:t>，确保调整区域内农村生活污水经处理后达标排放，或纳入城市污水收集处理系统。加强对水库的水质、温度及生态环境等各项的日常监测，建立水环境监视网络和监测制度，掌握水库蓝藻发生的适宜温度、水质变化、和生态环境变化的规律，逐步开展蓝藻预报服务，及时发现并采取措施，减少蓝藻的危害。</w:t>
      </w:r>
      <w:bookmarkStart w:id="125" w:name="_Toc341177837"/>
      <w:r>
        <w:rPr>
          <w:rFonts w:ascii="Times New Roman" w:hAnsi="Times New Roman" w:eastAsia="仿宋_GB2312"/>
          <w:snapToGrid w:val="0"/>
          <w:kern w:val="0"/>
          <w:sz w:val="28"/>
          <w:szCs w:val="28"/>
        </w:rPr>
        <w:t>制定水库蓝藻防治应急预案，实行蓝藻发生的跟踪监测，防范藻类爆发影响水源安全。</w:t>
      </w:r>
    </w:p>
    <w:p>
      <w:pPr>
        <w:pStyle w:val="91"/>
        <w:spacing w:before="0" w:after="0" w:line="580" w:lineRule="exact"/>
        <w:ind w:left="0" w:leftChars="0" w:firstLine="562" w:firstLineChars="200"/>
        <w:rPr>
          <w:rFonts w:eastAsia="仿宋_GB2312"/>
          <w:color w:val="auto"/>
        </w:rPr>
      </w:pPr>
      <w:bookmarkStart w:id="126" w:name="_Toc68612238"/>
      <w:r>
        <w:rPr>
          <w:rFonts w:eastAsia="仿宋_GB2312"/>
          <w:color w:val="auto"/>
        </w:rPr>
        <w:t>4.5.2制定风险事故应急计划</w:t>
      </w:r>
      <w:bookmarkEnd w:id="125"/>
      <w:bookmarkEnd w:id="126"/>
    </w:p>
    <w:p>
      <w:pPr>
        <w:spacing w:line="580" w:lineRule="exact"/>
        <w:ind w:firstLine="560"/>
        <w:rPr>
          <w:rFonts w:ascii="Times New Roman" w:hAnsi="Times New Roman" w:eastAsia="仿宋_GB2312"/>
          <w:snapToGrid w:val="0"/>
          <w:kern w:val="0"/>
          <w:sz w:val="28"/>
          <w:szCs w:val="28"/>
        </w:rPr>
      </w:pPr>
      <w:bookmarkStart w:id="127" w:name="_Toc341177838"/>
      <w:bookmarkStart w:id="128" w:name="_Toc320523882"/>
      <w:bookmarkStart w:id="129" w:name="_Toc318194449"/>
      <w:r>
        <w:rPr>
          <w:rFonts w:ascii="Times New Roman" w:hAnsi="Times New Roman" w:eastAsia="仿宋_GB2312"/>
          <w:snapToGrid w:val="0"/>
          <w:kern w:val="0"/>
          <w:sz w:val="28"/>
          <w:szCs w:val="28"/>
        </w:rPr>
        <w:t>切实做好集中式地表水饮用水水源地突发环境事件应急工作，建立健全饮用水水源地突发环境事件的应急机制，高效、有序地组织预警、控制和处置饮用水水源地突发环境事件，应及时完善、更新水源地应急预案，以及水源污染事故应急处置物资、设备；对应付突发环境事故的指挥系统进行及时的更新调整，确保组织制定的风险应急预案具备随时可操作的时效性；定期开展部门联动的环境污染事故应急演练，进一步提高环境污染事故应急处置能力，最大限度地减少事故污染对水环境的危害。</w:t>
      </w:r>
    </w:p>
    <w:bookmarkEnd w:id="127"/>
    <w:bookmarkEnd w:id="128"/>
    <w:bookmarkEnd w:id="129"/>
    <w:p>
      <w:pPr>
        <w:pStyle w:val="3"/>
        <w:spacing w:before="120" w:beforeLines="50" w:afterLines="50" w:line="580" w:lineRule="exact"/>
        <w:rPr>
          <w:rFonts w:ascii="Times New Roman" w:hAnsi="Times New Roman" w:eastAsia="仿宋_GB2312"/>
        </w:rPr>
      </w:pPr>
      <w:bookmarkStart w:id="130" w:name="_Toc341177843"/>
      <w:bookmarkStart w:id="131" w:name="_Toc146336362"/>
      <w:bookmarkStart w:id="132" w:name="_Toc160595437"/>
      <w:bookmarkStart w:id="133" w:name="_Toc131846634"/>
      <w:bookmarkStart w:id="134" w:name="_Toc65568816"/>
      <w:bookmarkStart w:id="135" w:name="_Toc68612239"/>
      <w:r>
        <w:rPr>
          <w:rFonts w:ascii="Times New Roman" w:hAnsi="Times New Roman" w:eastAsia="仿宋_GB2312"/>
        </w:rPr>
        <w:t>4.6加强环境宣传教育</w:t>
      </w:r>
      <w:bookmarkEnd w:id="130"/>
      <w:bookmarkEnd w:id="131"/>
      <w:bookmarkEnd w:id="132"/>
      <w:bookmarkEnd w:id="133"/>
      <w:bookmarkEnd w:id="134"/>
      <w:bookmarkEnd w:id="135"/>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加强水源保护区保护宣传力度，引导公众参与保护。设立各种水源保护区标记，并向</w:t>
      </w:r>
      <w:r>
        <w:rPr>
          <w:rFonts w:hint="eastAsia" w:ascii="Times New Roman" w:hAnsi="Times New Roman" w:eastAsia="仿宋_GB2312"/>
          <w:snapToGrid w:val="0"/>
          <w:kern w:val="0"/>
          <w:sz w:val="28"/>
          <w:szCs w:val="28"/>
        </w:rPr>
        <w:t>公众</w:t>
      </w:r>
      <w:r>
        <w:rPr>
          <w:rFonts w:ascii="Times New Roman" w:hAnsi="Times New Roman" w:eastAsia="仿宋_GB2312"/>
          <w:snapToGrid w:val="0"/>
          <w:kern w:val="0"/>
          <w:sz w:val="28"/>
          <w:szCs w:val="28"/>
        </w:rPr>
        <w:t>宣传饮用水源保护区划定范围和管理规定，形成上下联动、齐抓共管的良好氛围。</w:t>
      </w:r>
    </w:p>
    <w:p>
      <w:pPr>
        <w:spacing w:line="580" w:lineRule="exact"/>
        <w:ind w:firstLine="560"/>
        <w:rPr>
          <w:rFonts w:ascii="Times New Roman" w:hAnsi="Times New Roman" w:eastAsia="仿宋_GB2312"/>
          <w:snapToGrid w:val="0"/>
          <w:kern w:val="0"/>
          <w:sz w:val="28"/>
          <w:szCs w:val="28"/>
        </w:rPr>
      </w:pPr>
      <w:r>
        <w:rPr>
          <w:rFonts w:ascii="Times New Roman" w:hAnsi="Times New Roman" w:eastAsia="仿宋_GB2312"/>
          <w:snapToGrid w:val="0"/>
          <w:kern w:val="0"/>
          <w:sz w:val="28"/>
          <w:szCs w:val="28"/>
        </w:rPr>
        <w:t>通过建立信息发布平台等方法，强化公众监督，形成全社会共同参与保护饮水安全的氛围，重点对沿渠、库、湖周围的村民和单位进行水源保护知识、法规的教育，提高</w:t>
      </w:r>
      <w:r>
        <w:rPr>
          <w:rFonts w:hint="eastAsia" w:ascii="Times New Roman" w:hAnsi="Times New Roman" w:eastAsia="仿宋_GB2312"/>
          <w:snapToGrid w:val="0"/>
          <w:kern w:val="0"/>
          <w:sz w:val="28"/>
          <w:szCs w:val="28"/>
        </w:rPr>
        <w:t>公众</w:t>
      </w:r>
      <w:r>
        <w:rPr>
          <w:rFonts w:ascii="Times New Roman" w:hAnsi="Times New Roman" w:eastAsia="仿宋_GB2312"/>
          <w:snapToGrid w:val="0"/>
          <w:kern w:val="0"/>
          <w:sz w:val="28"/>
          <w:szCs w:val="28"/>
        </w:rPr>
        <w:t>自觉遵守饮用水源保护条例的意识。</w:t>
      </w:r>
    </w:p>
    <w:p>
      <w:pPr>
        <w:pStyle w:val="54"/>
        <w:spacing w:line="540" w:lineRule="exact"/>
        <w:ind w:firstLine="560"/>
        <w:rPr>
          <w:rFonts w:ascii="Times New Roman" w:hAnsi="Times New Roman" w:eastAsia="仿宋_GB2312"/>
          <w:snapToGrid w:val="0"/>
          <w:kern w:val="0"/>
          <w:sz w:val="28"/>
          <w:szCs w:val="28"/>
        </w:rPr>
        <w:sectPr>
          <w:pgSz w:w="11906" w:h="16838"/>
          <w:pgMar w:top="1440" w:right="1800" w:bottom="1440" w:left="1800" w:header="851" w:footer="992" w:gutter="0"/>
          <w:cols w:space="720" w:num="1"/>
          <w:docGrid w:linePitch="326" w:charSpace="0"/>
        </w:sectPr>
      </w:pPr>
      <w:r>
        <w:rPr>
          <w:rFonts w:ascii="Times New Roman" w:hAnsi="Times New Roman" w:eastAsia="仿宋_GB2312"/>
          <w:snapToGrid w:val="0"/>
          <w:kern w:val="0"/>
          <w:sz w:val="28"/>
          <w:szCs w:val="28"/>
        </w:rPr>
        <w:t>利用各种新闻媒体和互联网对水资源保护进行广泛、深入和持久地宣传，提高全民的水资源保护意识。把每年“世界水日”、“世界环境日”、“中国水周”、“城市节水宣传周”等等集中宣传活动与日常宣传相结合，多种形式宣传水资源保护建设对县经济社会可持续发展的重要意义，为水资源保护工作营造良好的社会氛围。</w:t>
      </w:r>
    </w:p>
    <w:p>
      <w:pPr>
        <w:pStyle w:val="91"/>
        <w:ind w:left="480" w:leftChars="0" w:firstLine="480"/>
        <w:jc w:val="center"/>
        <w:outlineLvl w:val="1"/>
        <w:rPr>
          <w:rFonts w:eastAsia="仿宋_GB2312"/>
          <w:color w:val="auto"/>
        </w:rPr>
      </w:pPr>
      <w:bookmarkStart w:id="136" w:name="_Toc58780566"/>
      <w:bookmarkStart w:id="137" w:name="_Toc68612240"/>
      <w:bookmarkStart w:id="138" w:name="_Toc57456226"/>
      <w:bookmarkStart w:id="139" w:name="_Toc17174"/>
      <w:bookmarkStart w:id="140" w:name="_Toc65568821"/>
      <w:r>
        <w:rPr>
          <w:rFonts w:eastAsia="仿宋_GB2312"/>
          <w:color w:val="auto"/>
        </w:rPr>
        <w:t xml:space="preserve">附表1  </w:t>
      </w:r>
      <w:r>
        <w:rPr>
          <w:rFonts w:hint="eastAsia" w:eastAsia="仿宋_GB2312"/>
          <w:color w:val="auto"/>
        </w:rPr>
        <w:t>临安区“千吨万人”饮用水水源保护区范围汇总表</w:t>
      </w:r>
      <w:bookmarkEnd w:id="136"/>
      <w:bookmarkEnd w:id="137"/>
    </w:p>
    <w:tbl>
      <w:tblPr>
        <w:tblStyle w:val="30"/>
        <w:tblW w:w="5000" w:type="pct"/>
        <w:tblInd w:w="0" w:type="dxa"/>
        <w:tblLayout w:type="autofit"/>
        <w:tblCellMar>
          <w:top w:w="0" w:type="dxa"/>
          <w:left w:w="108" w:type="dxa"/>
          <w:bottom w:w="0" w:type="dxa"/>
          <w:right w:w="108" w:type="dxa"/>
        </w:tblCellMar>
      </w:tblPr>
      <w:tblGrid>
        <w:gridCol w:w="464"/>
        <w:gridCol w:w="649"/>
        <w:gridCol w:w="2177"/>
        <w:gridCol w:w="948"/>
        <w:gridCol w:w="630"/>
        <w:gridCol w:w="577"/>
        <w:gridCol w:w="602"/>
        <w:gridCol w:w="1045"/>
        <w:gridCol w:w="1464"/>
        <w:gridCol w:w="1249"/>
        <w:gridCol w:w="1514"/>
        <w:gridCol w:w="1240"/>
        <w:gridCol w:w="1250"/>
        <w:gridCol w:w="1160"/>
        <w:gridCol w:w="645"/>
      </w:tblGrid>
      <w:tr>
        <w:tblPrEx>
          <w:tblCellMar>
            <w:top w:w="0" w:type="dxa"/>
            <w:left w:w="108" w:type="dxa"/>
            <w:bottom w:w="0" w:type="dxa"/>
            <w:right w:w="108" w:type="dxa"/>
          </w:tblCellMar>
        </w:tblPrEx>
        <w:trPr>
          <w:trHeight w:val="270" w:hRule="atLeast"/>
        </w:trPr>
        <w:tc>
          <w:tcPr>
            <w:tcW w:w="19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序号</w:t>
            </w:r>
          </w:p>
        </w:tc>
        <w:tc>
          <w:tcPr>
            <w:tcW w:w="25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县(市、区)</w:t>
            </w:r>
          </w:p>
        </w:tc>
        <w:tc>
          <w:tcPr>
            <w:tcW w:w="52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编码</w:t>
            </w:r>
          </w:p>
        </w:tc>
        <w:tc>
          <w:tcPr>
            <w:tcW w:w="3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水源地名称</w:t>
            </w:r>
          </w:p>
        </w:tc>
        <w:tc>
          <w:tcPr>
            <w:tcW w:w="24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别名</w:t>
            </w:r>
          </w:p>
        </w:tc>
        <w:tc>
          <w:tcPr>
            <w:tcW w:w="22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流域</w:t>
            </w:r>
          </w:p>
        </w:tc>
        <w:tc>
          <w:tcPr>
            <w:tcW w:w="23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水系</w:t>
            </w:r>
          </w:p>
        </w:tc>
        <w:tc>
          <w:tcPr>
            <w:tcW w:w="37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保护区名称</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范围</w:t>
            </w:r>
          </w:p>
        </w:tc>
        <w:tc>
          <w:tcPr>
            <w:tcW w:w="20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保护区面积(km</w:t>
            </w:r>
            <w:r>
              <w:rPr>
                <w:rFonts w:ascii="Times New Roman" w:hAnsi="Times New Roman" w:eastAsia="仿宋_GB2312"/>
                <w:b/>
                <w:bCs/>
                <w:color w:val="000000"/>
                <w:kern w:val="0"/>
                <w:sz w:val="18"/>
                <w:szCs w:val="18"/>
                <w:vertAlign w:val="superscript"/>
              </w:rPr>
              <w:t>2</w:t>
            </w:r>
            <w:r>
              <w:rPr>
                <w:rFonts w:ascii="Times New Roman" w:hAnsi="Times New Roman" w:eastAsia="仿宋_GB2312"/>
                <w:b/>
                <w:bCs/>
                <w:color w:val="000000"/>
                <w:kern w:val="0"/>
                <w:sz w:val="18"/>
                <w:szCs w:val="18"/>
              </w:rPr>
              <w:t>)</w:t>
            </w:r>
          </w:p>
        </w:tc>
      </w:tr>
      <w:tr>
        <w:tblPrEx>
          <w:tblCellMar>
            <w:top w:w="0" w:type="dxa"/>
            <w:left w:w="108" w:type="dxa"/>
            <w:bottom w:w="0" w:type="dxa"/>
            <w:right w:w="108" w:type="dxa"/>
          </w:tblCellMar>
        </w:tblPrEx>
        <w:trPr>
          <w:trHeight w:val="230" w:hRule="atLeast"/>
        </w:trPr>
        <w:tc>
          <w:tcPr>
            <w:tcW w:w="19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52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4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44"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2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3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7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51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起始断面</w:t>
            </w:r>
          </w:p>
        </w:tc>
        <w:tc>
          <w:tcPr>
            <w:tcW w:w="834" w:type="pct"/>
            <w:gridSpan w:val="2"/>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地理坐标</w:t>
            </w:r>
          </w:p>
        </w:tc>
        <w:tc>
          <w:tcPr>
            <w:tcW w:w="438"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终止断面</w:t>
            </w:r>
          </w:p>
        </w:tc>
        <w:tc>
          <w:tcPr>
            <w:tcW w:w="613" w:type="pct"/>
            <w:gridSpan w:val="2"/>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地理坐标</w:t>
            </w:r>
          </w:p>
        </w:tc>
        <w:tc>
          <w:tcPr>
            <w:tcW w:w="20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r>
      <w:tr>
        <w:tblPrEx>
          <w:tblCellMar>
            <w:top w:w="0" w:type="dxa"/>
            <w:left w:w="108" w:type="dxa"/>
            <w:bottom w:w="0" w:type="dxa"/>
            <w:right w:w="108" w:type="dxa"/>
          </w:tblCellMar>
        </w:tblPrEx>
        <w:trPr>
          <w:trHeight w:val="240" w:hRule="atLeast"/>
        </w:trPr>
        <w:tc>
          <w:tcPr>
            <w:tcW w:w="19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52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4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44"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2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23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7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51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东经</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北纬</w:t>
            </w:r>
          </w:p>
        </w:tc>
        <w:tc>
          <w:tcPr>
            <w:tcW w:w="438"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东经</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b/>
                <w:bCs/>
                <w:color w:val="000000"/>
                <w:kern w:val="0"/>
                <w:sz w:val="18"/>
                <w:szCs w:val="18"/>
              </w:rPr>
            </w:pPr>
            <w:r>
              <w:rPr>
                <w:rFonts w:ascii="Times New Roman" w:hAnsi="Times New Roman" w:eastAsia="仿宋_GB2312"/>
                <w:b/>
                <w:bCs/>
                <w:color w:val="000000"/>
                <w:kern w:val="0"/>
                <w:sz w:val="18"/>
                <w:szCs w:val="18"/>
              </w:rPr>
              <w:t>北纬</w:t>
            </w:r>
          </w:p>
        </w:tc>
        <w:tc>
          <w:tcPr>
            <w:tcW w:w="20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b/>
                <w:bCs/>
                <w:color w:val="000000"/>
                <w:kern w:val="0"/>
                <w:sz w:val="18"/>
                <w:szCs w:val="18"/>
              </w:rPr>
            </w:pPr>
          </w:p>
        </w:tc>
      </w:tr>
      <w:tr>
        <w:tblPrEx>
          <w:tblCellMar>
            <w:top w:w="0" w:type="dxa"/>
            <w:left w:w="108" w:type="dxa"/>
            <w:bottom w:w="0" w:type="dxa"/>
            <w:right w:w="108" w:type="dxa"/>
          </w:tblCellMar>
        </w:tblPrEx>
        <w:trPr>
          <w:trHeight w:val="470" w:hRule="atLeast"/>
        </w:trPr>
        <w:tc>
          <w:tcPr>
            <w:tcW w:w="19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w:t>
            </w:r>
          </w:p>
        </w:tc>
        <w:tc>
          <w:tcPr>
            <w:tcW w:w="250"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临安</w:t>
            </w:r>
          </w:p>
        </w:tc>
        <w:tc>
          <w:tcPr>
            <w:tcW w:w="52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w:t>
            </w:r>
          </w:p>
        </w:tc>
        <w:tc>
          <w:tcPr>
            <w:tcW w:w="346"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龙岗镇华光潭一级水库</w:t>
            </w:r>
          </w:p>
        </w:tc>
        <w:tc>
          <w:tcPr>
            <w:tcW w:w="244"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华光潭一级水库</w:t>
            </w:r>
          </w:p>
        </w:tc>
        <w:tc>
          <w:tcPr>
            <w:tcW w:w="22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浙闽皖</w:t>
            </w:r>
          </w:p>
        </w:tc>
        <w:tc>
          <w:tcPr>
            <w:tcW w:w="23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昌化溪</w:t>
            </w: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饮用水水源保护区</w:t>
            </w:r>
          </w:p>
        </w:tc>
        <w:tc>
          <w:tcPr>
            <w:tcW w:w="5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华光潭一级水库大坝上游3.5km</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119°01'40.79"</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30°17'25.69"</w:t>
            </w:r>
          </w:p>
        </w:tc>
        <w:tc>
          <w:tcPr>
            <w:tcW w:w="43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华光潭一级水库大坝</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119°02'18.56"</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30°16'50.09"</w:t>
            </w:r>
          </w:p>
        </w:tc>
        <w:tc>
          <w:tcPr>
            <w:tcW w:w="20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7.99</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1783" w:type="pct"/>
            <w:gridSpan w:val="4"/>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取水口</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119°02'3.52"</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30°17'4.24"</w:t>
            </w:r>
          </w:p>
        </w:tc>
        <w:tc>
          <w:tcPr>
            <w:tcW w:w="20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一级保护区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水域：取水口上游1000m至下游100m范围内水域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0.299</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陆域：一级保护区水域沿岸纵深50m范围内陆域，其中北岸50m范围内存在道路的，以道路为界</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0.149</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二级保护区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水域：一级保护区的上游边界上游延伸2000m，下游为一级保护区下游边界至水库大坝范围内水域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0.547</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陆域：保护区水域沿岸纵深1000范围内陆域（一级保护区陆域除外），不超过流域分水岭</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6.995</w:t>
            </w:r>
          </w:p>
        </w:tc>
      </w:tr>
      <w:tr>
        <w:tblPrEx>
          <w:tblCellMar>
            <w:top w:w="0" w:type="dxa"/>
            <w:left w:w="108" w:type="dxa"/>
            <w:bottom w:w="0" w:type="dxa"/>
            <w:right w:w="108" w:type="dxa"/>
          </w:tblCellMar>
        </w:tblPrEx>
        <w:trPr>
          <w:trHeight w:val="690" w:hRule="atLeast"/>
        </w:trPr>
        <w:tc>
          <w:tcPr>
            <w:tcW w:w="19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2</w:t>
            </w:r>
          </w:p>
        </w:tc>
        <w:tc>
          <w:tcPr>
            <w:tcW w:w="250"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临安</w:t>
            </w:r>
          </w:p>
        </w:tc>
        <w:tc>
          <w:tcPr>
            <w:tcW w:w="52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G010210330185200R0024</w:t>
            </w:r>
          </w:p>
        </w:tc>
        <w:tc>
          <w:tcPr>
            <w:tcW w:w="346"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板桥镇居仁水库</w:t>
            </w:r>
          </w:p>
        </w:tc>
        <w:tc>
          <w:tcPr>
            <w:tcW w:w="244"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居仁水库</w:t>
            </w:r>
          </w:p>
        </w:tc>
        <w:tc>
          <w:tcPr>
            <w:tcW w:w="22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浙闽皖</w:t>
            </w:r>
          </w:p>
        </w:tc>
        <w:tc>
          <w:tcPr>
            <w:tcW w:w="23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南苕溪</w:t>
            </w: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饮用水水源保护区</w:t>
            </w:r>
          </w:p>
        </w:tc>
        <w:tc>
          <w:tcPr>
            <w:tcW w:w="5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居仁水库库尾</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119°49'28.9"</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30°10'3.11"</w:t>
            </w:r>
          </w:p>
        </w:tc>
        <w:tc>
          <w:tcPr>
            <w:tcW w:w="43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居仁水库大坝</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119°49'13.1"</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30°10'7.57"</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2.18</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1783" w:type="pct"/>
            <w:gridSpan w:val="4"/>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取水口</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119°49'15.6"</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30°10'6.96"</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一级保护区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水域：水库多年平均水位线对应的高程线（180m）以下的全部水域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0.046</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陆域：一级保护区水域外200m范围内陆域，不超过水库大坝，不超过分水岭</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0.305</w:t>
            </w:r>
          </w:p>
        </w:tc>
      </w:tr>
      <w:tr>
        <w:tblPrEx>
          <w:tblCellMar>
            <w:top w:w="0" w:type="dxa"/>
            <w:left w:w="108" w:type="dxa"/>
            <w:bottom w:w="0" w:type="dxa"/>
            <w:right w:w="108" w:type="dxa"/>
          </w:tblCellMar>
        </w:tblPrEx>
        <w:trPr>
          <w:trHeight w:val="24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二级保护区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陆域：水库多年平均水位线以上周边集雨区域（一级保护区陆域除外）</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1.828</w:t>
            </w:r>
          </w:p>
        </w:tc>
      </w:tr>
      <w:tr>
        <w:tblPrEx>
          <w:tblCellMar>
            <w:top w:w="0" w:type="dxa"/>
            <w:left w:w="108" w:type="dxa"/>
            <w:bottom w:w="0" w:type="dxa"/>
            <w:right w:w="108" w:type="dxa"/>
          </w:tblCellMar>
        </w:tblPrEx>
        <w:trPr>
          <w:trHeight w:val="480" w:hRule="atLeast"/>
        </w:trPr>
        <w:tc>
          <w:tcPr>
            <w:tcW w:w="19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w:t>
            </w:r>
          </w:p>
        </w:tc>
        <w:tc>
          <w:tcPr>
            <w:tcW w:w="250"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临安</w:t>
            </w:r>
          </w:p>
        </w:tc>
        <w:tc>
          <w:tcPr>
            <w:tcW w:w="52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G010210330185109R0135</w:t>
            </w:r>
          </w:p>
        </w:tc>
        <w:tc>
          <w:tcPr>
            <w:tcW w:w="346"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河桥镇江岭水库</w:t>
            </w:r>
          </w:p>
        </w:tc>
        <w:tc>
          <w:tcPr>
            <w:tcW w:w="244"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江岭水库</w:t>
            </w:r>
          </w:p>
        </w:tc>
        <w:tc>
          <w:tcPr>
            <w:tcW w:w="22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浙闽皖</w:t>
            </w:r>
          </w:p>
        </w:tc>
        <w:tc>
          <w:tcPr>
            <w:tcW w:w="23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昌化溪</w:t>
            </w: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饮用水源保护区</w:t>
            </w:r>
          </w:p>
        </w:tc>
        <w:tc>
          <w:tcPr>
            <w:tcW w:w="5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江岭水库库尾</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119°1′46.88"</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30°04'58.87"</w:t>
            </w:r>
          </w:p>
        </w:tc>
        <w:tc>
          <w:tcPr>
            <w:tcW w:w="43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江岭水库大坝</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119°02'9.85"</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30°05'4.06"</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2.895</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　</w:t>
            </w:r>
          </w:p>
        </w:tc>
        <w:tc>
          <w:tcPr>
            <w:tcW w:w="1783" w:type="pct"/>
            <w:gridSpan w:val="4"/>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取水口</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119°02'10.2"</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30°05'5.04"</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一级保护区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水域：水库多年平均水位线对应的高程线以下（375m）的全部水域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0.068</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陆域：一级保护区水域外200m范围内陆域，其中北岸陆域200m范围内存在道路的以道路为界，不超过水库大坝，不超过分水岭</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0.21</w:t>
            </w:r>
          </w:p>
        </w:tc>
      </w:tr>
      <w:tr>
        <w:tblPrEx>
          <w:tblCellMar>
            <w:top w:w="0" w:type="dxa"/>
            <w:left w:w="108" w:type="dxa"/>
            <w:bottom w:w="0" w:type="dxa"/>
            <w:right w:w="108" w:type="dxa"/>
          </w:tblCellMar>
        </w:tblPrEx>
        <w:trPr>
          <w:trHeight w:val="24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二级保护区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陆域：水库多年平均水位线以上集雨区域（一级保护区除外）</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2.656</w:t>
            </w:r>
          </w:p>
        </w:tc>
      </w:tr>
      <w:tr>
        <w:tblPrEx>
          <w:tblCellMar>
            <w:top w:w="0" w:type="dxa"/>
            <w:left w:w="108" w:type="dxa"/>
            <w:bottom w:w="0" w:type="dxa"/>
            <w:right w:w="108" w:type="dxa"/>
          </w:tblCellMar>
        </w:tblPrEx>
        <w:trPr>
          <w:trHeight w:val="480" w:hRule="atLeast"/>
        </w:trPr>
        <w:tc>
          <w:tcPr>
            <w:tcW w:w="19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4</w:t>
            </w:r>
          </w:p>
        </w:tc>
        <w:tc>
          <w:tcPr>
            <w:tcW w:w="250"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临安</w:t>
            </w:r>
          </w:p>
        </w:tc>
        <w:tc>
          <w:tcPr>
            <w:tcW w:w="52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G010210330185113R0120</w:t>
            </w:r>
          </w:p>
        </w:tc>
        <w:tc>
          <w:tcPr>
            <w:tcW w:w="346"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岛石镇喷洞水库</w:t>
            </w:r>
          </w:p>
        </w:tc>
        <w:tc>
          <w:tcPr>
            <w:tcW w:w="244"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喷洞水库</w:t>
            </w:r>
          </w:p>
        </w:tc>
        <w:tc>
          <w:tcPr>
            <w:tcW w:w="22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浙闽皖</w:t>
            </w:r>
          </w:p>
        </w:tc>
        <w:tc>
          <w:tcPr>
            <w:tcW w:w="23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昌化溪</w:t>
            </w: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饮用水源保护区</w:t>
            </w:r>
          </w:p>
        </w:tc>
        <w:tc>
          <w:tcPr>
            <w:tcW w:w="5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喷洞水库库尾</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118°52'22.7"</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30°17'8.38"</w:t>
            </w:r>
          </w:p>
        </w:tc>
        <w:tc>
          <w:tcPr>
            <w:tcW w:w="43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喷洞水库大坝</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118°52'29"</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30°17'11.51"</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0.104</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　</w:t>
            </w:r>
          </w:p>
        </w:tc>
        <w:tc>
          <w:tcPr>
            <w:tcW w:w="1783" w:type="pct"/>
            <w:gridSpan w:val="4"/>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取水口</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118°52'30"</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30°17'11.76"</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一级保护区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水域：水库多年平均水位线对应高程线（625m）以下的全部水域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0.016</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陆域：水库多年平均水位线以上集雨区域，其中水库西侧以杭州市行政区边界为界</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0.088</w:t>
            </w:r>
          </w:p>
        </w:tc>
      </w:tr>
      <w:tr>
        <w:tblPrEx>
          <w:tblCellMar>
            <w:top w:w="0" w:type="dxa"/>
            <w:left w:w="108" w:type="dxa"/>
            <w:bottom w:w="0" w:type="dxa"/>
            <w:right w:w="108" w:type="dxa"/>
          </w:tblCellMar>
        </w:tblPrEx>
        <w:trPr>
          <w:trHeight w:val="480" w:hRule="atLeast"/>
        </w:trPr>
        <w:tc>
          <w:tcPr>
            <w:tcW w:w="191"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5</w:t>
            </w:r>
          </w:p>
        </w:tc>
        <w:tc>
          <w:tcPr>
            <w:tcW w:w="250"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临安</w:t>
            </w:r>
          </w:p>
        </w:tc>
        <w:tc>
          <w:tcPr>
            <w:tcW w:w="529"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G010210330185113R0120</w:t>
            </w:r>
          </w:p>
        </w:tc>
        <w:tc>
          <w:tcPr>
            <w:tcW w:w="346"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太湖源镇夏村水库</w:t>
            </w:r>
          </w:p>
        </w:tc>
        <w:tc>
          <w:tcPr>
            <w:tcW w:w="244"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夏村水库</w:t>
            </w:r>
          </w:p>
        </w:tc>
        <w:tc>
          <w:tcPr>
            <w:tcW w:w="22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浙闽皖</w:t>
            </w:r>
          </w:p>
        </w:tc>
        <w:tc>
          <w:tcPr>
            <w:tcW w:w="235"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南苕溪</w:t>
            </w: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饮用水源保护区</w:t>
            </w:r>
          </w:p>
        </w:tc>
        <w:tc>
          <w:tcPr>
            <w:tcW w:w="511"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夏村水库库尾</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119°33'42.8"</w:t>
            </w:r>
          </w:p>
        </w:tc>
        <w:tc>
          <w:tcPr>
            <w:tcW w:w="526"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30°19'53.15"</w:t>
            </w:r>
          </w:p>
        </w:tc>
        <w:tc>
          <w:tcPr>
            <w:tcW w:w="438"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夏村水库大坝</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119°33'48.9"</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30°19'36.84"</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3.52</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　</w:t>
            </w:r>
          </w:p>
        </w:tc>
        <w:tc>
          <w:tcPr>
            <w:tcW w:w="1783" w:type="pct"/>
            <w:gridSpan w:val="4"/>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取水口</w:t>
            </w:r>
          </w:p>
        </w:tc>
        <w:tc>
          <w:tcPr>
            <w:tcW w:w="30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119°33'50.07"</w:t>
            </w:r>
          </w:p>
        </w:tc>
        <w:tc>
          <w:tcPr>
            <w:tcW w:w="3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30°19'36.7"</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一级保护区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水域：水库多年平均水位线对应的高程线（260m）以下的全部水域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0.06</w:t>
            </w:r>
          </w:p>
        </w:tc>
      </w:tr>
      <w:tr>
        <w:tblPrEx>
          <w:tblCellMar>
            <w:top w:w="0" w:type="dxa"/>
            <w:left w:w="108" w:type="dxa"/>
            <w:bottom w:w="0" w:type="dxa"/>
            <w:right w:w="108" w:type="dxa"/>
          </w:tblCellMar>
        </w:tblPrEx>
        <w:trPr>
          <w:trHeight w:val="23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陆域：一级保护区水域外200m范围内陆域，200m范围内存在道路（众潘线）的以道路为界，不超过分水岭</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0.1</w:t>
            </w:r>
          </w:p>
        </w:tc>
      </w:tr>
      <w:tr>
        <w:tblPrEx>
          <w:tblCellMar>
            <w:top w:w="0" w:type="dxa"/>
            <w:left w:w="108" w:type="dxa"/>
            <w:bottom w:w="0" w:type="dxa"/>
            <w:right w:w="108" w:type="dxa"/>
          </w:tblCellMar>
        </w:tblPrEx>
        <w:trPr>
          <w:trHeight w:val="240" w:hRule="atLeast"/>
        </w:trPr>
        <w:tc>
          <w:tcPr>
            <w:tcW w:w="191"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50"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529"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46"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44"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27"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23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Times New Roman" w:hAnsi="Times New Roman" w:eastAsia="仿宋_GB2312"/>
                <w:color w:val="000000"/>
                <w:kern w:val="0"/>
                <w:sz w:val="18"/>
                <w:szCs w:val="18"/>
              </w:rPr>
            </w:pPr>
          </w:p>
        </w:tc>
        <w:tc>
          <w:tcPr>
            <w:tcW w:w="377"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二级保护区</w:t>
            </w:r>
          </w:p>
        </w:tc>
        <w:tc>
          <w:tcPr>
            <w:tcW w:w="2396" w:type="pct"/>
            <w:gridSpan w:val="6"/>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陆域：上游流域至龙门寺水库坝址处区间集雨范围（一级保护区外区域）</w:t>
            </w:r>
          </w:p>
        </w:tc>
        <w:tc>
          <w:tcPr>
            <w:tcW w:w="205" w:type="pct"/>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color w:val="000000"/>
                <w:kern w:val="0"/>
                <w:sz w:val="18"/>
                <w:szCs w:val="18"/>
              </w:rPr>
            </w:pPr>
            <w:r>
              <w:rPr>
                <w:rFonts w:ascii="Times New Roman" w:hAnsi="Times New Roman" w:eastAsia="仿宋_GB2312"/>
                <w:color w:val="000000"/>
                <w:kern w:val="0"/>
                <w:sz w:val="18"/>
                <w:szCs w:val="18"/>
              </w:rPr>
              <w:t>3.36</w:t>
            </w:r>
          </w:p>
        </w:tc>
      </w:tr>
    </w:tbl>
    <w:p>
      <w:pPr>
        <w:pStyle w:val="54"/>
        <w:ind w:firstLine="480"/>
      </w:pPr>
    </w:p>
    <w:p>
      <w:pPr>
        <w:pStyle w:val="54"/>
        <w:ind w:firstLine="480"/>
      </w:pPr>
    </w:p>
    <w:p>
      <w:pPr>
        <w:pStyle w:val="54"/>
        <w:ind w:firstLine="480"/>
        <w:sectPr>
          <w:pgSz w:w="16838" w:h="11906" w:orient="landscape"/>
          <w:pgMar w:top="720" w:right="720" w:bottom="720" w:left="720" w:header="851" w:footer="992" w:gutter="0"/>
          <w:cols w:space="720" w:num="1"/>
          <w:docGrid w:linePitch="326" w:charSpace="0"/>
        </w:sectPr>
      </w:pPr>
    </w:p>
    <w:p>
      <w:pPr>
        <w:pStyle w:val="91"/>
        <w:spacing w:before="0" w:after="0"/>
        <w:ind w:left="0" w:leftChars="0"/>
        <w:jc w:val="center"/>
        <w:outlineLvl w:val="1"/>
        <w:rPr>
          <w:rFonts w:eastAsia="仿宋_GB2312"/>
          <w:smallCaps/>
          <w:sz w:val="24"/>
          <w:szCs w:val="22"/>
        </w:rPr>
      </w:pPr>
      <w:bookmarkStart w:id="141" w:name="_Toc68612241"/>
      <w:r>
        <w:rPr>
          <w:rFonts w:eastAsia="仿宋_GB2312"/>
          <w:smallCaps/>
          <w:sz w:val="24"/>
          <w:szCs w:val="22"/>
        </w:rPr>
        <w:t xml:space="preserve">附表2  </w:t>
      </w:r>
      <w:bookmarkEnd w:id="138"/>
      <w:bookmarkEnd w:id="139"/>
      <w:r>
        <w:rPr>
          <w:rFonts w:eastAsia="仿宋_GB2312"/>
          <w:smallCaps/>
          <w:sz w:val="24"/>
          <w:szCs w:val="22"/>
        </w:rPr>
        <w:t>临安区龙岗镇华光潭一级水库饮用水水源保护区信息登记表</w:t>
      </w:r>
      <w:bookmarkEnd w:id="140"/>
      <w:bookmarkEnd w:id="141"/>
    </w:p>
    <w:tbl>
      <w:tblPr>
        <w:tblStyle w:val="30"/>
        <w:tblW w:w="5000" w:type="pct"/>
        <w:tblInd w:w="0" w:type="dxa"/>
        <w:tblLayout w:type="fixed"/>
        <w:tblCellMar>
          <w:top w:w="0" w:type="dxa"/>
          <w:left w:w="108" w:type="dxa"/>
          <w:bottom w:w="0" w:type="dxa"/>
          <w:right w:w="108" w:type="dxa"/>
        </w:tblCellMar>
      </w:tblPr>
      <w:tblGrid>
        <w:gridCol w:w="1024"/>
        <w:gridCol w:w="1600"/>
        <w:gridCol w:w="711"/>
        <w:gridCol w:w="1776"/>
        <w:gridCol w:w="1868"/>
        <w:gridCol w:w="3704"/>
      </w:tblGrid>
      <w:tr>
        <w:tblPrEx>
          <w:tblCellMar>
            <w:top w:w="0" w:type="dxa"/>
            <w:left w:w="108" w:type="dxa"/>
            <w:bottom w:w="0" w:type="dxa"/>
            <w:right w:w="108" w:type="dxa"/>
          </w:tblCellMar>
        </w:tblPrEx>
        <w:trPr>
          <w:trHeight w:val="523" w:hRule="atLeast"/>
        </w:trPr>
        <w:tc>
          <w:tcPr>
            <w:tcW w:w="122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bookmarkStart w:id="142" w:name="_Hlk66832140"/>
            <w:r>
              <w:rPr>
                <w:rFonts w:ascii="Times New Roman" w:hAnsi="Times New Roman" w:eastAsia="仿宋_GB2312"/>
                <w:kern w:val="0"/>
              </w:rPr>
              <w:t>水源编号</w:t>
            </w:r>
          </w:p>
        </w:tc>
        <w:tc>
          <w:tcPr>
            <w:tcW w:w="1164"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p>
        </w:tc>
        <w:tc>
          <w:tcPr>
            <w:tcW w:w="87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水源名称</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华光潭一级水库</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水源类型</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中型水库</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所在水系/小流域</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昌化溪</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日供水规模（吨）</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0.8</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服务范围</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龙岗镇部分片区、岛石镇（含新桥乡）</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服务人口（人）</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color w:val="000000"/>
                <w:kern w:val="0"/>
              </w:rPr>
              <w:t>21625</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中心点坐标</w:t>
            </w:r>
          </w:p>
        </w:tc>
        <w:tc>
          <w:tcPr>
            <w:tcW w:w="173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119°02'3.52"E</w:t>
            </w:r>
          </w:p>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30°17'4.24"N</w:t>
            </w:r>
          </w:p>
        </w:tc>
      </w:tr>
      <w:tr>
        <w:tblPrEx>
          <w:tblCellMar>
            <w:top w:w="0" w:type="dxa"/>
            <w:left w:w="108" w:type="dxa"/>
            <w:bottom w:w="0" w:type="dxa"/>
            <w:right w:w="108" w:type="dxa"/>
          </w:tblCellMar>
        </w:tblPrEx>
        <w:trPr>
          <w:trHeight w:val="523" w:hRule="atLeast"/>
        </w:trPr>
        <w:tc>
          <w:tcPr>
            <w:tcW w:w="479" w:type="pct"/>
            <w:vMerge w:val="restart"/>
            <w:tcBorders>
              <w:top w:val="nil"/>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w:t>
            </w:r>
          </w:p>
        </w:tc>
        <w:tc>
          <w:tcPr>
            <w:tcW w:w="74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一级保护区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一级保护区水域：取水口上游1000m至下游100m范围内水域，面积0.299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一级保护区陆域：一级保护区水域沿岸纵深50m范围内陆域，其中北岸50m范围内存在道路的，以道路为界，面积0.149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479" w:type="pct"/>
            <w:vMerge w:val="continue"/>
            <w:tcBorders>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p>
        </w:tc>
        <w:tc>
          <w:tcPr>
            <w:tcW w:w="74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二级保护区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二级保护区水域：一级保护区的上游边界上游延伸2000m，下游为一级保护区下游边界至水库大坝范围内水域，面积0.547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二级保护区陆域：保护区水域沿岸纵深1000范围内陆域（一级保护区陆域除外），不超过流域分水岭，面积6.995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1561" w:type="pct"/>
            <w:gridSpan w:val="3"/>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保护区范围内基本情况介绍（污染源、交通穿越等）</w:t>
            </w:r>
          </w:p>
        </w:tc>
        <w:tc>
          <w:tcPr>
            <w:tcW w:w="3439"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华</w:t>
            </w:r>
            <w:r>
              <w:rPr>
                <w:rFonts w:ascii="Times New Roman" w:hAnsi="Times New Roman" w:eastAsia="仿宋_GB2312"/>
                <w:kern w:val="0"/>
              </w:rPr>
              <w:t>光潭一级水库区域存在较大面积的</w:t>
            </w:r>
            <w:r>
              <w:rPr>
                <w:rFonts w:hint="eastAsia" w:ascii="Times New Roman" w:hAnsi="Times New Roman" w:eastAsia="仿宋_GB2312"/>
                <w:kern w:val="0"/>
              </w:rPr>
              <w:t>山</w:t>
            </w:r>
            <w:r>
              <w:rPr>
                <w:rFonts w:ascii="Times New Roman" w:hAnsi="Times New Roman" w:eastAsia="仿宋_GB2312"/>
                <w:kern w:val="0"/>
              </w:rPr>
              <w:t>核桃经济林，陆域一二级保护区存在原住民，取水口上游二级保护区存在加油站</w:t>
            </w:r>
            <w:r>
              <w:rPr>
                <w:rFonts w:hint="eastAsia" w:ascii="Times New Roman" w:hAnsi="Times New Roman" w:eastAsia="仿宋_GB2312"/>
                <w:kern w:val="0"/>
              </w:rPr>
              <w:t>、酒店</w:t>
            </w:r>
            <w:r>
              <w:rPr>
                <w:rFonts w:ascii="Times New Roman" w:hAnsi="Times New Roman" w:eastAsia="仿宋_GB2312"/>
                <w:kern w:val="0"/>
              </w:rPr>
              <w:t>等单位；华浪线、华茶线、华光潭大桥等道路设施穿过一、二级保护区。</w:t>
            </w:r>
          </w:p>
        </w:tc>
      </w:tr>
      <w:tr>
        <w:tblPrEx>
          <w:tblCellMar>
            <w:top w:w="0" w:type="dxa"/>
            <w:left w:w="108" w:type="dxa"/>
            <w:bottom w:w="0" w:type="dxa"/>
            <w:right w:w="108" w:type="dxa"/>
          </w:tblCellMar>
        </w:tblPrEx>
        <w:trPr>
          <w:trHeight w:val="2828" w:hRule="atLeast"/>
        </w:trPr>
        <w:tc>
          <w:tcPr>
            <w:tcW w:w="2392"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2088515" cy="1881505"/>
                  <wp:effectExtent l="0" t="0" r="6985"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a:extLst>
                              <a:ext uri="{28A0092B-C50C-407E-A947-70E740481C1C}">
                                <a14:useLocalDpi xmlns:a14="http://schemas.microsoft.com/office/drawing/2010/main" val="0"/>
                              </a:ext>
                            </a:extLst>
                          </a:blip>
                          <a:srcRect l="18648" r="12175"/>
                          <a:stretch>
                            <a:fillRect/>
                          </a:stretch>
                        </pic:blipFill>
                        <pic:spPr>
                          <a:xfrm>
                            <a:off x="0" y="0"/>
                            <a:ext cx="2122618" cy="1912202"/>
                          </a:xfrm>
                          <a:prstGeom prst="rect">
                            <a:avLst/>
                          </a:prstGeom>
                          <a:ln>
                            <a:noFill/>
                          </a:ln>
                        </pic:spPr>
                      </pic:pic>
                    </a:graphicData>
                  </a:graphic>
                </wp:inline>
              </w:drawing>
            </w:r>
          </w:p>
        </w:tc>
        <w:tc>
          <w:tcPr>
            <w:tcW w:w="2608"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2167890" cy="1871345"/>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6" cstate="print">
                            <a:extLst>
                              <a:ext uri="{28A0092B-C50C-407E-A947-70E740481C1C}">
                                <a14:useLocalDpi xmlns:a14="http://schemas.microsoft.com/office/drawing/2010/main" val="0"/>
                              </a:ext>
                            </a:extLst>
                          </a:blip>
                          <a:srcRect l="34811"/>
                          <a:stretch>
                            <a:fillRect/>
                          </a:stretch>
                        </pic:blipFill>
                        <pic:spPr>
                          <a:xfrm>
                            <a:off x="0" y="0"/>
                            <a:ext cx="2168286" cy="1871345"/>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5" w:hRule="atLeast"/>
        </w:trPr>
        <w:tc>
          <w:tcPr>
            <w:tcW w:w="2392"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现场照片一</w:t>
            </w:r>
          </w:p>
        </w:tc>
        <w:tc>
          <w:tcPr>
            <w:tcW w:w="2608"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现场照片二</w:t>
            </w:r>
          </w:p>
        </w:tc>
      </w:tr>
      <w:tr>
        <w:tblPrEx>
          <w:tblCellMar>
            <w:top w:w="0" w:type="dxa"/>
            <w:left w:w="108" w:type="dxa"/>
            <w:bottom w:w="0" w:type="dxa"/>
            <w:right w:w="108" w:type="dxa"/>
          </w:tblCellMar>
        </w:tblPrEx>
        <w:trPr>
          <w:trHeight w:val="4451" w:hRule="atLeast"/>
        </w:trPr>
        <w:tc>
          <w:tcPr>
            <w:tcW w:w="479" w:type="pct"/>
            <w:tcBorders>
              <w:top w:val="nil"/>
              <w:left w:val="single" w:color="auto" w:sz="4" w:space="0"/>
              <w:bottom w:val="nil"/>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水源保护范围示意图（</w:t>
            </w:r>
            <w:r>
              <w:rPr>
                <w:rFonts w:ascii="Times New Roman" w:hAnsi="Times New Roman" w:eastAsia="仿宋_GB2312"/>
                <w:b/>
                <w:bCs/>
                <w:kern w:val="0"/>
              </w:rPr>
              <w:t>含拐点</w:t>
            </w:r>
            <w:r>
              <w:rPr>
                <w:rFonts w:ascii="Times New Roman" w:hAnsi="Times New Roman" w:eastAsia="仿宋_GB2312"/>
                <w:kern w:val="0"/>
              </w:rPr>
              <w:t>）</w:t>
            </w:r>
          </w:p>
        </w:tc>
        <w:tc>
          <w:tcPr>
            <w:tcW w:w="4521"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4865370" cy="68802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82321" cy="6904377"/>
                          </a:xfrm>
                          <a:prstGeom prst="rect">
                            <a:avLst/>
                          </a:prstGeom>
                        </pic:spPr>
                      </pic:pic>
                    </a:graphicData>
                  </a:graphic>
                </wp:inline>
              </w:drawing>
            </w:r>
          </w:p>
        </w:tc>
      </w:tr>
      <w:tr>
        <w:tblPrEx>
          <w:tblCellMar>
            <w:top w:w="0" w:type="dxa"/>
            <w:left w:w="108" w:type="dxa"/>
            <w:bottom w:w="0" w:type="dxa"/>
            <w:right w:w="108" w:type="dxa"/>
          </w:tblCellMar>
        </w:tblPrEx>
        <w:trPr>
          <w:trHeight w:val="2864" w:hRule="atLeast"/>
        </w:trPr>
        <w:tc>
          <w:tcPr>
            <w:tcW w:w="479"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拐点坐标</w:t>
            </w:r>
          </w:p>
        </w:tc>
        <w:tc>
          <w:tcPr>
            <w:tcW w:w="4521" w:type="pct"/>
            <w:gridSpan w:val="5"/>
            <w:tcBorders>
              <w:top w:val="single" w:color="auto" w:sz="4" w:space="0"/>
              <w:left w:val="nil"/>
              <w:bottom w:val="single" w:color="auto" w:sz="4" w:space="0"/>
              <w:right w:val="single" w:color="auto" w:sz="4" w:space="0"/>
            </w:tcBorders>
            <w:shd w:val="clear" w:color="auto" w:fill="auto"/>
            <w:noWrap/>
            <w:vAlign w:val="center"/>
          </w:tcPr>
          <w:tbl>
            <w:tblPr>
              <w:tblStyle w:val="31"/>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38"/>
              <w:gridCol w:w="1538"/>
              <w:gridCol w:w="1538"/>
              <w:gridCol w:w="1538"/>
              <w:gridCol w:w="1538"/>
              <w:gridCol w:w="1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119.0408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30.29173</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119.04085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30.27049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119.03489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30.29392</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119.03324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119.01999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30.30104</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r>
                    <w:rPr>
                      <w:rFonts w:ascii="Times New Roman" w:hAnsi="Times New Roman" w:eastAsia="仿宋_GB2312"/>
                      <w:kern w:val="0"/>
                    </w:rPr>
                    <w:t>0</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119.02412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30.28692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119.00753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30.29478</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r>
                    <w:rPr>
                      <w:rFonts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119.02507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30.28927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119.01305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30.28436</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119.03691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30.28116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119.01573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30.27483</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界标2</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r>
                    <w:rPr>
                      <w:rFonts w:ascii="Times New Roman" w:hAnsi="Times New Roman" w:eastAsia="仿宋_GB2312"/>
                      <w:kern w:val="0"/>
                    </w:rPr>
                    <w:t>19.03849</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r>
                    <w:rPr>
                      <w:rFonts w:ascii="Times New Roman" w:hAnsi="Times New Roman" w:eastAsia="仿宋_GB2312"/>
                      <w:kern w:val="0"/>
                    </w:rPr>
                    <w:t>0.28061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119.02793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30.2723</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警示牌</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119.03715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30.28582</w:t>
                  </w:r>
                </w:p>
              </w:tc>
            </w:tr>
          </w:tbl>
          <w:p>
            <w:pPr>
              <w:widowControl/>
              <w:spacing w:line="240" w:lineRule="auto"/>
              <w:ind w:firstLine="0" w:firstLineChars="0"/>
              <w:jc w:val="center"/>
              <w:rPr>
                <w:rFonts w:ascii="Times New Roman" w:hAnsi="Times New Roman" w:eastAsia="仿宋_GB2312"/>
                <w:kern w:val="0"/>
              </w:rPr>
            </w:pPr>
          </w:p>
        </w:tc>
      </w:tr>
      <w:bookmarkEnd w:id="142"/>
    </w:tbl>
    <w:p>
      <w:pPr>
        <w:ind w:firstLine="480"/>
        <w:rPr>
          <w:rFonts w:ascii="Times New Roman" w:hAnsi="Times New Roman" w:eastAsia="仿宋_GB2312"/>
        </w:rPr>
        <w:sectPr>
          <w:pgSz w:w="11906" w:h="16838"/>
          <w:pgMar w:top="720" w:right="720" w:bottom="720" w:left="720" w:header="851" w:footer="992" w:gutter="0"/>
          <w:cols w:space="720" w:num="1"/>
          <w:docGrid w:linePitch="326" w:charSpace="0"/>
        </w:sectPr>
      </w:pPr>
    </w:p>
    <w:p>
      <w:pPr>
        <w:pStyle w:val="91"/>
        <w:spacing w:before="0" w:after="0"/>
        <w:ind w:left="0" w:leftChars="0"/>
        <w:jc w:val="center"/>
        <w:outlineLvl w:val="1"/>
        <w:rPr>
          <w:rFonts w:eastAsia="仿宋_GB2312"/>
          <w:smallCaps/>
          <w:sz w:val="24"/>
          <w:szCs w:val="22"/>
        </w:rPr>
      </w:pPr>
      <w:bookmarkStart w:id="143" w:name="_Toc65568823"/>
      <w:bookmarkStart w:id="144" w:name="_Toc68612242"/>
      <w:r>
        <w:rPr>
          <w:rFonts w:eastAsia="仿宋_GB2312"/>
          <w:smallCaps/>
          <w:sz w:val="24"/>
          <w:szCs w:val="22"/>
        </w:rPr>
        <w:t>附表3  临安区板桥镇居仁水库饮用水水源保护区信息登记表</w:t>
      </w:r>
      <w:bookmarkEnd w:id="143"/>
      <w:bookmarkEnd w:id="144"/>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600"/>
        <w:gridCol w:w="711"/>
        <w:gridCol w:w="2310"/>
        <w:gridCol w:w="1880"/>
        <w:gridCol w:w="3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228" w:type="pct"/>
            <w:gridSpan w:val="2"/>
            <w:vAlign w:val="center"/>
          </w:tcPr>
          <w:p>
            <w:pPr>
              <w:widowControl/>
              <w:spacing w:line="240" w:lineRule="auto"/>
              <w:ind w:firstLine="0" w:firstLineChars="0"/>
              <w:jc w:val="center"/>
              <w:rPr>
                <w:rFonts w:ascii="Times New Roman" w:hAnsi="Times New Roman" w:eastAsia="仿宋_GB2312"/>
                <w:kern w:val="0"/>
              </w:rPr>
            </w:pPr>
            <w:bookmarkStart w:id="145" w:name="_Hlk66832439"/>
            <w:r>
              <w:rPr>
                <w:rFonts w:ascii="Times New Roman" w:hAnsi="Times New Roman" w:eastAsia="仿宋_GB2312"/>
                <w:kern w:val="0"/>
              </w:rPr>
              <w:t>水源编号</w:t>
            </w:r>
          </w:p>
        </w:tc>
        <w:tc>
          <w:tcPr>
            <w:tcW w:w="1414"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G010210-330185200-R-0024</w:t>
            </w:r>
          </w:p>
        </w:tc>
        <w:tc>
          <w:tcPr>
            <w:tcW w:w="880"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水源名称</w:t>
            </w:r>
          </w:p>
        </w:tc>
        <w:tc>
          <w:tcPr>
            <w:tcW w:w="1478"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居仁水库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228" w:type="pct"/>
            <w:gridSpan w:val="2"/>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水源类型</w:t>
            </w:r>
          </w:p>
        </w:tc>
        <w:tc>
          <w:tcPr>
            <w:tcW w:w="1414"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小型水库</w:t>
            </w:r>
          </w:p>
        </w:tc>
        <w:tc>
          <w:tcPr>
            <w:tcW w:w="880"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所在水系/小流域</w:t>
            </w:r>
          </w:p>
        </w:tc>
        <w:tc>
          <w:tcPr>
            <w:tcW w:w="1478"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南苕溪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228" w:type="pct"/>
            <w:gridSpan w:val="2"/>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日供水规模（吨）</w:t>
            </w:r>
          </w:p>
        </w:tc>
        <w:tc>
          <w:tcPr>
            <w:tcW w:w="1414"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2000</w:t>
            </w:r>
          </w:p>
        </w:tc>
        <w:tc>
          <w:tcPr>
            <w:tcW w:w="880"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服务范围</w:t>
            </w:r>
          </w:p>
        </w:tc>
        <w:tc>
          <w:tcPr>
            <w:tcW w:w="1478"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板桥镇花戏村、上田村、桃源村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228" w:type="pct"/>
            <w:gridSpan w:val="2"/>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服务人口（人）</w:t>
            </w:r>
          </w:p>
        </w:tc>
        <w:tc>
          <w:tcPr>
            <w:tcW w:w="1414"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color w:val="000000"/>
                <w:kern w:val="0"/>
              </w:rPr>
              <w:t>6713</w:t>
            </w:r>
          </w:p>
        </w:tc>
        <w:tc>
          <w:tcPr>
            <w:tcW w:w="880"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中心点坐标</w:t>
            </w:r>
          </w:p>
        </w:tc>
        <w:tc>
          <w:tcPr>
            <w:tcW w:w="1478"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119°49'15.6"E</w:t>
            </w:r>
          </w:p>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30°10'6.96"N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479" w:type="pct"/>
            <w:vMerge w:val="restart"/>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w:t>
            </w:r>
          </w:p>
        </w:tc>
        <w:tc>
          <w:tcPr>
            <w:tcW w:w="749"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一级保护区</w:t>
            </w:r>
          </w:p>
        </w:tc>
        <w:tc>
          <w:tcPr>
            <w:tcW w:w="3772" w:type="pct"/>
            <w:gridSpan w:val="4"/>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一级保护区水域：水库多年平均水位线对应的高程线（180m）以下的全部水域，面积0.046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一级保护区陆域：一级保护区水域外200m范围内陆域，不超过水库大坝，不超过分水岭，面积0.305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479" w:type="pct"/>
            <w:vMerge w:val="continue"/>
            <w:vAlign w:val="center"/>
          </w:tcPr>
          <w:p>
            <w:pPr>
              <w:widowControl/>
              <w:spacing w:line="240" w:lineRule="auto"/>
              <w:ind w:firstLine="0" w:firstLineChars="0"/>
              <w:jc w:val="center"/>
              <w:rPr>
                <w:rFonts w:ascii="Times New Roman" w:hAnsi="Times New Roman" w:eastAsia="仿宋_GB2312"/>
                <w:kern w:val="0"/>
              </w:rPr>
            </w:pPr>
          </w:p>
        </w:tc>
        <w:tc>
          <w:tcPr>
            <w:tcW w:w="749" w:type="pct"/>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二级保护区</w:t>
            </w:r>
          </w:p>
        </w:tc>
        <w:tc>
          <w:tcPr>
            <w:tcW w:w="3772" w:type="pct"/>
            <w:gridSpan w:val="4"/>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二级保护区陆域：水库多年平均水位线以上周边集雨区域（一级保护区陆域除外），面积1.828 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561" w:type="pct"/>
            <w:gridSpan w:val="3"/>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保护区范围内基本情况介绍（污染源、交通穿越等）</w:t>
            </w:r>
          </w:p>
        </w:tc>
        <w:tc>
          <w:tcPr>
            <w:tcW w:w="3439" w:type="pct"/>
            <w:gridSpan w:val="3"/>
            <w:shd w:val="clear" w:color="auto" w:fill="auto"/>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水库周边主要为山地及林地，无工业污水排口，无养殖场分布，水库西侧范围存在零星原住居民。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8" w:hRule="atLeast"/>
        </w:trPr>
        <w:tc>
          <w:tcPr>
            <w:tcW w:w="2642" w:type="pct"/>
            <w:gridSpan w:val="4"/>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2293620" cy="1706880"/>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310952" cy="1720090"/>
                          </a:xfrm>
                          <a:prstGeom prst="rect">
                            <a:avLst/>
                          </a:prstGeom>
                          <a:noFill/>
                          <a:ln>
                            <a:noFill/>
                          </a:ln>
                        </pic:spPr>
                      </pic:pic>
                    </a:graphicData>
                  </a:graphic>
                </wp:inline>
              </w:drawing>
            </w:r>
          </w:p>
        </w:tc>
        <w:tc>
          <w:tcPr>
            <w:tcW w:w="2358"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2395855" cy="1783080"/>
                  <wp:effectExtent l="0" t="0" r="4445"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415253" cy="179772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42" w:type="pct"/>
            <w:gridSpan w:val="4"/>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现场照片一</w:t>
            </w:r>
          </w:p>
        </w:tc>
        <w:tc>
          <w:tcPr>
            <w:tcW w:w="2358" w:type="pct"/>
            <w:gridSpan w:val="2"/>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1" w:hRule="atLeast"/>
        </w:trPr>
        <w:tc>
          <w:tcPr>
            <w:tcW w:w="479" w:type="pct"/>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水源保护范围示意图（</w:t>
            </w:r>
            <w:r>
              <w:rPr>
                <w:rFonts w:ascii="Times New Roman" w:hAnsi="Times New Roman" w:eastAsia="仿宋_GB2312"/>
                <w:b/>
                <w:bCs/>
                <w:kern w:val="0"/>
              </w:rPr>
              <w:t>含拐点</w:t>
            </w:r>
            <w:r>
              <w:rPr>
                <w:rFonts w:ascii="Times New Roman" w:hAnsi="Times New Roman" w:eastAsia="仿宋_GB2312"/>
                <w:kern w:val="0"/>
              </w:rPr>
              <w:t>）</w:t>
            </w:r>
          </w:p>
        </w:tc>
        <w:tc>
          <w:tcPr>
            <w:tcW w:w="4521" w:type="pct"/>
            <w:gridSpan w:val="5"/>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4992370" cy="7060565"/>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16853" cy="709462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6" w:hRule="atLeast"/>
        </w:trPr>
        <w:tc>
          <w:tcPr>
            <w:tcW w:w="479" w:type="pct"/>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坐标</w:t>
            </w:r>
          </w:p>
        </w:tc>
        <w:tc>
          <w:tcPr>
            <w:tcW w:w="4521" w:type="pct"/>
            <w:gridSpan w:val="5"/>
            <w:shd w:val="clear" w:color="auto" w:fill="auto"/>
            <w:noWrap/>
            <w:vAlign w:val="center"/>
          </w:tcPr>
          <w:tbl>
            <w:tblPr>
              <w:tblStyle w:val="31"/>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38"/>
              <w:gridCol w:w="1538"/>
              <w:gridCol w:w="1538"/>
              <w:gridCol w:w="1538"/>
              <w:gridCol w:w="1538"/>
              <w:gridCol w:w="1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119.82221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30.17326</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119.81657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119.83126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30.17105</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119.81805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119.83678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30.16929</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119.826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30.16653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119.83332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30.16321</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119.82058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30.16896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119.82529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30.15809</w:t>
                  </w: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r>
          </w:tbl>
          <w:p>
            <w:pPr>
              <w:widowControl/>
              <w:spacing w:line="240" w:lineRule="auto"/>
              <w:ind w:firstLine="0" w:firstLineChars="0"/>
              <w:jc w:val="center"/>
              <w:rPr>
                <w:rFonts w:ascii="Times New Roman" w:hAnsi="Times New Roman" w:eastAsia="仿宋_GB2312"/>
                <w:kern w:val="0"/>
              </w:rPr>
            </w:pPr>
          </w:p>
        </w:tc>
      </w:tr>
      <w:bookmarkEnd w:id="145"/>
    </w:tbl>
    <w:p>
      <w:pPr>
        <w:pStyle w:val="98"/>
        <w:spacing w:before="120" w:after="240"/>
        <w:rPr>
          <w:rFonts w:ascii="Times New Roman" w:eastAsia="仿宋_GB2312"/>
        </w:rPr>
        <w:sectPr>
          <w:pgSz w:w="11906" w:h="16838"/>
          <w:pgMar w:top="720" w:right="720" w:bottom="720" w:left="720" w:header="851" w:footer="992" w:gutter="0"/>
          <w:cols w:space="720" w:num="1"/>
          <w:docGrid w:linePitch="326" w:charSpace="0"/>
        </w:sectPr>
      </w:pPr>
    </w:p>
    <w:p>
      <w:pPr>
        <w:pStyle w:val="98"/>
        <w:spacing w:before="120" w:after="240"/>
        <w:rPr>
          <w:rFonts w:ascii="Times New Roman" w:eastAsia="仿宋_GB2312"/>
        </w:rPr>
      </w:pPr>
    </w:p>
    <w:p>
      <w:pPr>
        <w:pStyle w:val="91"/>
        <w:spacing w:before="0" w:after="0"/>
        <w:ind w:left="0" w:leftChars="0"/>
        <w:jc w:val="center"/>
        <w:outlineLvl w:val="1"/>
        <w:rPr>
          <w:rFonts w:eastAsia="仿宋_GB2312"/>
          <w:smallCaps/>
          <w:sz w:val="24"/>
          <w:szCs w:val="22"/>
        </w:rPr>
      </w:pPr>
      <w:bookmarkStart w:id="146" w:name="_Toc65568824"/>
      <w:bookmarkStart w:id="147" w:name="_Toc68612243"/>
      <w:r>
        <w:rPr>
          <w:rFonts w:eastAsia="仿宋_GB2312"/>
          <w:smallCaps/>
          <w:sz w:val="24"/>
          <w:szCs w:val="22"/>
        </w:rPr>
        <w:t>附表4  临安区河桥镇江岭水库饮用水水源保护区信息登记表</w:t>
      </w:r>
      <w:bookmarkEnd w:id="146"/>
      <w:bookmarkEnd w:id="147"/>
    </w:p>
    <w:tbl>
      <w:tblPr>
        <w:tblStyle w:val="30"/>
        <w:tblW w:w="5000" w:type="pct"/>
        <w:tblInd w:w="0" w:type="dxa"/>
        <w:tblLayout w:type="fixed"/>
        <w:tblCellMar>
          <w:top w:w="0" w:type="dxa"/>
          <w:left w:w="108" w:type="dxa"/>
          <w:bottom w:w="0" w:type="dxa"/>
          <w:right w:w="108" w:type="dxa"/>
        </w:tblCellMar>
      </w:tblPr>
      <w:tblGrid>
        <w:gridCol w:w="1027"/>
        <w:gridCol w:w="1600"/>
        <w:gridCol w:w="709"/>
        <w:gridCol w:w="2166"/>
        <w:gridCol w:w="1882"/>
        <w:gridCol w:w="3299"/>
      </w:tblGrid>
      <w:tr>
        <w:tblPrEx>
          <w:tblCellMar>
            <w:top w:w="0" w:type="dxa"/>
            <w:left w:w="108" w:type="dxa"/>
            <w:bottom w:w="0" w:type="dxa"/>
            <w:right w:w="108" w:type="dxa"/>
          </w:tblCellMar>
        </w:tblPrEx>
        <w:trPr>
          <w:trHeight w:val="523" w:hRule="atLeast"/>
        </w:trPr>
        <w:tc>
          <w:tcPr>
            <w:tcW w:w="122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bookmarkStart w:id="148" w:name="_Hlk66832519"/>
            <w:r>
              <w:rPr>
                <w:rFonts w:ascii="Times New Roman" w:hAnsi="Times New Roman" w:eastAsia="仿宋_GB2312"/>
                <w:kern w:val="0"/>
              </w:rPr>
              <w:t>水源编号</w:t>
            </w:r>
          </w:p>
        </w:tc>
        <w:tc>
          <w:tcPr>
            <w:tcW w:w="134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G010210-330185109-R-0135</w:t>
            </w:r>
          </w:p>
        </w:tc>
        <w:tc>
          <w:tcPr>
            <w:tcW w:w="88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水源名称</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江岭水库</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水源类型</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小型水库</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所在水系/小流域</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昌化溪</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日供水规模（吨）</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2000</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服务范围</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学川村、金燕村、蒲村村、秀溪村、七都村</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服务人口（人）</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color w:val="000000"/>
                <w:kern w:val="0"/>
              </w:rPr>
              <w:t>8091</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中心点坐标</w:t>
            </w:r>
          </w:p>
        </w:tc>
        <w:tc>
          <w:tcPr>
            <w:tcW w:w="1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119°02'10.2"E</w:t>
            </w:r>
          </w:p>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30°05'5.04"N</w:t>
            </w:r>
          </w:p>
        </w:tc>
      </w:tr>
      <w:tr>
        <w:tblPrEx>
          <w:tblCellMar>
            <w:top w:w="0" w:type="dxa"/>
            <w:left w:w="108" w:type="dxa"/>
            <w:bottom w:w="0" w:type="dxa"/>
            <w:right w:w="108" w:type="dxa"/>
          </w:tblCellMar>
        </w:tblPrEx>
        <w:trPr>
          <w:trHeight w:val="523" w:hRule="atLeast"/>
        </w:trPr>
        <w:tc>
          <w:tcPr>
            <w:tcW w:w="480" w:type="pct"/>
            <w:vMerge w:val="restart"/>
            <w:tcBorders>
              <w:top w:val="nil"/>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w:t>
            </w:r>
          </w:p>
        </w:tc>
        <w:tc>
          <w:tcPr>
            <w:tcW w:w="74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一级保护区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一级保护区水域：水库多年平均水位线对应的高程线以下（375m）的全部水域，面积0.068 km2；</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一级保护区陆域：一级保护区水域外200m范围内陆域，其中北岸陆域200m范围内存在道路的以道路为界，不超过水库大坝，不超过分水岭，面积0.21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480" w:type="pct"/>
            <w:vMerge w:val="continue"/>
            <w:tcBorders>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p>
        </w:tc>
        <w:tc>
          <w:tcPr>
            <w:tcW w:w="74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二级保护区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二级保护区陆域：水库多年平均水位线以上集雨区域（一级保护区除外），面积2.656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1561" w:type="pct"/>
            <w:gridSpan w:val="3"/>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保护区范围内基本情况介绍（污染源、交通穿越等）</w:t>
            </w:r>
          </w:p>
        </w:tc>
        <w:tc>
          <w:tcPr>
            <w:tcW w:w="3439"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水库周边主要为山地及林地，取水口周边无工业污水排口，无养殖场分布，</w:t>
            </w:r>
            <w:r>
              <w:rPr>
                <w:rFonts w:hint="eastAsia" w:ascii="Times New Roman" w:hAnsi="Times New Roman" w:eastAsia="仿宋_GB2312"/>
                <w:kern w:val="0"/>
              </w:rPr>
              <w:t>水库周边存在永久基本农田和经济林，</w:t>
            </w:r>
            <w:r>
              <w:rPr>
                <w:rFonts w:ascii="Times New Roman" w:hAnsi="Times New Roman" w:eastAsia="仿宋_GB2312"/>
                <w:kern w:val="0"/>
              </w:rPr>
              <w:t>水库二级保护区范围有309县道穿越。</w:t>
            </w:r>
          </w:p>
        </w:tc>
      </w:tr>
      <w:tr>
        <w:tblPrEx>
          <w:tblCellMar>
            <w:top w:w="0" w:type="dxa"/>
            <w:left w:w="108" w:type="dxa"/>
            <w:bottom w:w="0" w:type="dxa"/>
            <w:right w:w="108" w:type="dxa"/>
          </w:tblCellMar>
        </w:tblPrEx>
        <w:trPr>
          <w:trHeight w:val="2828" w:hRule="atLeast"/>
        </w:trPr>
        <w:tc>
          <w:tcPr>
            <w:tcW w:w="2574"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b/>
                <w:bCs/>
                <w:snapToGrid w:val="0"/>
                <w:kern w:val="0"/>
              </w:rPr>
              <w:drawing>
                <wp:inline distT="0" distB="0" distL="0" distR="0">
                  <wp:extent cx="2234565" cy="185356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283410" cy="1894602"/>
                          </a:xfrm>
                          <a:prstGeom prst="rect">
                            <a:avLst/>
                          </a:prstGeom>
                          <a:noFill/>
                          <a:ln>
                            <a:noFill/>
                          </a:ln>
                        </pic:spPr>
                      </pic:pic>
                    </a:graphicData>
                  </a:graphic>
                </wp:inline>
              </w:drawing>
            </w:r>
          </w:p>
        </w:tc>
        <w:tc>
          <w:tcPr>
            <w:tcW w:w="242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b/>
                <w:bCs/>
                <w:snapToGrid w:val="0"/>
                <w:kern w:val="0"/>
              </w:rPr>
              <w:drawing>
                <wp:inline distT="0" distB="0" distL="0" distR="0">
                  <wp:extent cx="2540635" cy="1826260"/>
                  <wp:effectExtent l="0" t="0" r="0" b="25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562792" cy="1842281"/>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5" w:hRule="atLeast"/>
        </w:trPr>
        <w:tc>
          <w:tcPr>
            <w:tcW w:w="2574"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现场照片一</w:t>
            </w:r>
          </w:p>
        </w:tc>
        <w:tc>
          <w:tcPr>
            <w:tcW w:w="242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现场照片二</w:t>
            </w:r>
          </w:p>
        </w:tc>
      </w:tr>
      <w:tr>
        <w:tblPrEx>
          <w:tblCellMar>
            <w:top w:w="0" w:type="dxa"/>
            <w:left w:w="108" w:type="dxa"/>
            <w:bottom w:w="0" w:type="dxa"/>
            <w:right w:w="108" w:type="dxa"/>
          </w:tblCellMar>
        </w:tblPrEx>
        <w:trPr>
          <w:trHeight w:val="4451" w:hRule="atLeast"/>
        </w:trPr>
        <w:tc>
          <w:tcPr>
            <w:tcW w:w="480" w:type="pct"/>
            <w:tcBorders>
              <w:top w:val="nil"/>
              <w:left w:val="single" w:color="auto" w:sz="4" w:space="0"/>
              <w:bottom w:val="nil"/>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水源保护范围示意图（</w:t>
            </w:r>
            <w:r>
              <w:rPr>
                <w:rFonts w:ascii="Times New Roman" w:hAnsi="Times New Roman" w:eastAsia="仿宋_GB2312"/>
                <w:b/>
                <w:bCs/>
                <w:kern w:val="0"/>
              </w:rPr>
              <w:t>含拐点</w:t>
            </w:r>
            <w:r>
              <w:rPr>
                <w:rFonts w:ascii="Times New Roman" w:hAnsi="Times New Roman" w:eastAsia="仿宋_GB2312"/>
                <w:kern w:val="0"/>
              </w:rPr>
              <w:t>）</w:t>
            </w:r>
          </w:p>
        </w:tc>
        <w:tc>
          <w:tcPr>
            <w:tcW w:w="4520"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5072380" cy="7173595"/>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82041" cy="7186948"/>
                          </a:xfrm>
                          <a:prstGeom prst="rect">
                            <a:avLst/>
                          </a:prstGeom>
                        </pic:spPr>
                      </pic:pic>
                    </a:graphicData>
                  </a:graphic>
                </wp:inline>
              </w:drawing>
            </w:r>
          </w:p>
        </w:tc>
      </w:tr>
      <w:tr>
        <w:tblPrEx>
          <w:tblCellMar>
            <w:top w:w="0" w:type="dxa"/>
            <w:left w:w="108" w:type="dxa"/>
            <w:bottom w:w="0" w:type="dxa"/>
            <w:right w:w="108" w:type="dxa"/>
          </w:tblCellMar>
        </w:tblPrEx>
        <w:trPr>
          <w:trHeight w:val="2468" w:hRule="atLeast"/>
        </w:trPr>
        <w:tc>
          <w:tcPr>
            <w:tcW w:w="480" w:type="pct"/>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拐点坐标</w:t>
            </w:r>
          </w:p>
        </w:tc>
        <w:tc>
          <w:tcPr>
            <w:tcW w:w="4520" w:type="pct"/>
            <w:gridSpan w:val="5"/>
            <w:tcBorders>
              <w:top w:val="single" w:color="auto" w:sz="4" w:space="0"/>
              <w:left w:val="nil"/>
              <w:bottom w:val="single" w:color="auto" w:sz="4" w:space="0"/>
              <w:right w:val="single" w:color="auto" w:sz="4" w:space="0"/>
            </w:tcBorders>
            <w:shd w:val="clear" w:color="auto" w:fill="auto"/>
            <w:noWrap/>
            <w:vAlign w:val="center"/>
          </w:tcPr>
          <w:tbl>
            <w:tblPr>
              <w:tblStyle w:val="31"/>
              <w:tblW w:w="92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38"/>
              <w:gridCol w:w="1538"/>
              <w:gridCol w:w="1538"/>
              <w:gridCol w:w="1538"/>
              <w:gridCol w:w="1538"/>
              <w:gridCol w:w="1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119.03584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30.08571</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119.01566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30.08397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119.03375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30.09019</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119.02213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30.08001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119.02717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30.0944</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119.03123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30.07771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119.01713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30.09446</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119.03709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30.08111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119.01146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30.08949</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119.03623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30.08377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警示牌</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119.02915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30.08298</w:t>
                  </w: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r>
          </w:tbl>
          <w:p>
            <w:pPr>
              <w:widowControl/>
              <w:spacing w:line="240" w:lineRule="auto"/>
              <w:ind w:firstLine="0" w:firstLineChars="0"/>
              <w:jc w:val="center"/>
              <w:rPr>
                <w:rFonts w:ascii="Times New Roman" w:hAnsi="Times New Roman" w:eastAsia="仿宋_GB2312"/>
                <w:kern w:val="0"/>
              </w:rPr>
            </w:pPr>
          </w:p>
        </w:tc>
      </w:tr>
      <w:bookmarkEnd w:id="148"/>
    </w:tbl>
    <w:p>
      <w:pPr>
        <w:pStyle w:val="98"/>
        <w:spacing w:before="120" w:after="240"/>
        <w:rPr>
          <w:rFonts w:ascii="Times New Roman" w:eastAsia="仿宋_GB2312"/>
        </w:rPr>
      </w:pPr>
    </w:p>
    <w:p>
      <w:pPr>
        <w:pStyle w:val="98"/>
        <w:spacing w:before="120" w:after="240"/>
        <w:rPr>
          <w:rFonts w:ascii="Times New Roman" w:eastAsia="仿宋_GB2312"/>
        </w:rPr>
        <w:sectPr>
          <w:pgSz w:w="11906" w:h="16838"/>
          <w:pgMar w:top="720" w:right="720" w:bottom="720" w:left="720" w:header="851" w:footer="992" w:gutter="0"/>
          <w:cols w:space="720" w:num="1"/>
          <w:docGrid w:linePitch="326" w:charSpace="0"/>
        </w:sectPr>
      </w:pPr>
    </w:p>
    <w:p>
      <w:pPr>
        <w:pStyle w:val="91"/>
        <w:spacing w:before="0" w:after="0"/>
        <w:ind w:left="0" w:leftChars="0"/>
        <w:jc w:val="center"/>
        <w:outlineLvl w:val="1"/>
        <w:rPr>
          <w:rFonts w:eastAsia="仿宋_GB2312"/>
          <w:smallCaps/>
          <w:sz w:val="24"/>
          <w:szCs w:val="22"/>
        </w:rPr>
      </w:pPr>
      <w:bookmarkStart w:id="149" w:name="_Toc65568825"/>
      <w:bookmarkStart w:id="150" w:name="_Toc68612244"/>
      <w:r>
        <w:rPr>
          <w:rFonts w:eastAsia="仿宋_GB2312"/>
          <w:smallCaps/>
          <w:sz w:val="24"/>
          <w:szCs w:val="22"/>
        </w:rPr>
        <w:t>附表5  临安区岛石镇喷洞水库饮用水水源保护区信息登记表</w:t>
      </w:r>
      <w:bookmarkEnd w:id="149"/>
      <w:bookmarkEnd w:id="150"/>
    </w:p>
    <w:tbl>
      <w:tblPr>
        <w:tblStyle w:val="30"/>
        <w:tblW w:w="5000" w:type="pct"/>
        <w:tblInd w:w="0" w:type="dxa"/>
        <w:tblLayout w:type="fixed"/>
        <w:tblCellMar>
          <w:top w:w="0" w:type="dxa"/>
          <w:left w:w="108" w:type="dxa"/>
          <w:bottom w:w="0" w:type="dxa"/>
          <w:right w:w="108" w:type="dxa"/>
        </w:tblCellMar>
      </w:tblPr>
      <w:tblGrid>
        <w:gridCol w:w="1027"/>
        <w:gridCol w:w="1600"/>
        <w:gridCol w:w="709"/>
        <w:gridCol w:w="2166"/>
        <w:gridCol w:w="1882"/>
        <w:gridCol w:w="3299"/>
      </w:tblGrid>
      <w:tr>
        <w:tblPrEx>
          <w:tblCellMar>
            <w:top w:w="0" w:type="dxa"/>
            <w:left w:w="108" w:type="dxa"/>
            <w:bottom w:w="0" w:type="dxa"/>
            <w:right w:w="108" w:type="dxa"/>
          </w:tblCellMar>
        </w:tblPrEx>
        <w:trPr>
          <w:trHeight w:val="523" w:hRule="atLeast"/>
        </w:trPr>
        <w:tc>
          <w:tcPr>
            <w:tcW w:w="122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bookmarkStart w:id="151" w:name="_Hlk66832862"/>
            <w:r>
              <w:rPr>
                <w:rFonts w:ascii="Times New Roman" w:hAnsi="Times New Roman" w:eastAsia="仿宋_GB2312"/>
                <w:kern w:val="0"/>
              </w:rPr>
              <w:t>水源编号</w:t>
            </w:r>
          </w:p>
        </w:tc>
        <w:tc>
          <w:tcPr>
            <w:tcW w:w="134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G010210-330185113-R-0120</w:t>
            </w:r>
          </w:p>
        </w:tc>
        <w:tc>
          <w:tcPr>
            <w:tcW w:w="88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水源名称</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喷洞水库</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水源类型</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小型水库</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所在水系/小流域</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昌化溪</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日供水规模（吨）</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2000</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服务范围</w:t>
            </w:r>
          </w:p>
        </w:tc>
        <w:tc>
          <w:tcPr>
            <w:tcW w:w="1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桥岭脚、大园、大坦、仁里小学</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服务人口（人）</w:t>
            </w:r>
          </w:p>
        </w:tc>
        <w:tc>
          <w:tcPr>
            <w:tcW w:w="1346"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color w:val="000000"/>
                <w:kern w:val="0"/>
              </w:rPr>
              <w:t>9060</w:t>
            </w:r>
          </w:p>
        </w:tc>
        <w:tc>
          <w:tcPr>
            <w:tcW w:w="881"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中心点坐标</w:t>
            </w:r>
          </w:p>
        </w:tc>
        <w:tc>
          <w:tcPr>
            <w:tcW w:w="1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118°52'30"E</w:t>
            </w:r>
          </w:p>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30°17'11.76"N</w:t>
            </w:r>
          </w:p>
        </w:tc>
      </w:tr>
      <w:tr>
        <w:tblPrEx>
          <w:tblCellMar>
            <w:top w:w="0" w:type="dxa"/>
            <w:left w:w="108" w:type="dxa"/>
            <w:bottom w:w="0" w:type="dxa"/>
            <w:right w:w="108" w:type="dxa"/>
          </w:tblCellMar>
        </w:tblPrEx>
        <w:trPr>
          <w:trHeight w:val="523" w:hRule="atLeast"/>
        </w:trPr>
        <w:tc>
          <w:tcPr>
            <w:tcW w:w="480" w:type="pct"/>
            <w:vMerge w:val="restart"/>
            <w:tcBorders>
              <w:top w:val="nil"/>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w:t>
            </w:r>
          </w:p>
        </w:tc>
        <w:tc>
          <w:tcPr>
            <w:tcW w:w="74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一级保护区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一级保护区水域：水库多年平均水位线对应高程线（625m）以下的全部水域，面积0.016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一级保护区陆域：水库多年平均水位线以上集雨区域，其中水库西侧以杭州市行政区边界为界，面积0.088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480" w:type="pct"/>
            <w:vMerge w:val="continue"/>
            <w:tcBorders>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p>
        </w:tc>
        <w:tc>
          <w:tcPr>
            <w:tcW w:w="74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二级保护区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无。</w:t>
            </w:r>
          </w:p>
        </w:tc>
      </w:tr>
      <w:tr>
        <w:tblPrEx>
          <w:tblCellMar>
            <w:top w:w="0" w:type="dxa"/>
            <w:left w:w="108" w:type="dxa"/>
            <w:bottom w:w="0" w:type="dxa"/>
            <w:right w:w="108" w:type="dxa"/>
          </w:tblCellMar>
        </w:tblPrEx>
        <w:trPr>
          <w:trHeight w:val="523" w:hRule="atLeast"/>
        </w:trPr>
        <w:tc>
          <w:tcPr>
            <w:tcW w:w="1561" w:type="pct"/>
            <w:gridSpan w:val="3"/>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保护区范围内基本情况介绍（污染源、交通穿越等）</w:t>
            </w:r>
          </w:p>
        </w:tc>
        <w:tc>
          <w:tcPr>
            <w:tcW w:w="3439"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水库周边主要为</w:t>
            </w:r>
            <w:r>
              <w:rPr>
                <w:rFonts w:hint="eastAsia" w:ascii="Times New Roman" w:hAnsi="Times New Roman" w:eastAsia="仿宋_GB2312"/>
                <w:kern w:val="0"/>
              </w:rPr>
              <w:t>林地</w:t>
            </w:r>
            <w:r>
              <w:rPr>
                <w:rFonts w:ascii="Times New Roman" w:hAnsi="Times New Roman" w:eastAsia="仿宋_GB2312"/>
                <w:kern w:val="0"/>
              </w:rPr>
              <w:t>，</w:t>
            </w:r>
            <w:r>
              <w:rPr>
                <w:rFonts w:hint="eastAsia" w:ascii="Times New Roman" w:hAnsi="Times New Roman" w:eastAsia="仿宋_GB2312"/>
                <w:kern w:val="0"/>
              </w:rPr>
              <w:t>水库周边种植大面积山核桃林，</w:t>
            </w:r>
            <w:r>
              <w:rPr>
                <w:rFonts w:ascii="Times New Roman" w:hAnsi="Times New Roman" w:eastAsia="仿宋_GB2312"/>
                <w:kern w:val="0"/>
              </w:rPr>
              <w:t>取水口周边无工业污水排口，无养殖场分布。</w:t>
            </w:r>
          </w:p>
        </w:tc>
      </w:tr>
      <w:tr>
        <w:tblPrEx>
          <w:tblCellMar>
            <w:top w:w="0" w:type="dxa"/>
            <w:left w:w="108" w:type="dxa"/>
            <w:bottom w:w="0" w:type="dxa"/>
            <w:right w:w="108" w:type="dxa"/>
          </w:tblCellMar>
        </w:tblPrEx>
        <w:trPr>
          <w:trHeight w:val="2828" w:hRule="atLeast"/>
        </w:trPr>
        <w:tc>
          <w:tcPr>
            <w:tcW w:w="2574"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snapToGrid w:val="0"/>
                <w:kern w:val="0"/>
              </w:rPr>
              <w:drawing>
                <wp:inline distT="0" distB="0" distL="0" distR="0">
                  <wp:extent cx="2310130" cy="173037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328960" cy="1744428"/>
                          </a:xfrm>
                          <a:prstGeom prst="rect">
                            <a:avLst/>
                          </a:prstGeom>
                          <a:noFill/>
                          <a:ln>
                            <a:noFill/>
                          </a:ln>
                        </pic:spPr>
                      </pic:pic>
                    </a:graphicData>
                  </a:graphic>
                </wp:inline>
              </w:drawing>
            </w:r>
          </w:p>
        </w:tc>
        <w:tc>
          <w:tcPr>
            <w:tcW w:w="242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snapToGrid w:val="0"/>
                <w:kern w:val="0"/>
              </w:rPr>
              <w:drawing>
                <wp:inline distT="0" distB="0" distL="0" distR="0">
                  <wp:extent cx="2331720" cy="173545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358415" cy="1755418"/>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5" w:hRule="atLeast"/>
        </w:trPr>
        <w:tc>
          <w:tcPr>
            <w:tcW w:w="2574"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现场照片一</w:t>
            </w:r>
          </w:p>
        </w:tc>
        <w:tc>
          <w:tcPr>
            <w:tcW w:w="2426"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现场照片二</w:t>
            </w:r>
          </w:p>
        </w:tc>
      </w:tr>
      <w:tr>
        <w:tblPrEx>
          <w:tblCellMar>
            <w:top w:w="0" w:type="dxa"/>
            <w:left w:w="108" w:type="dxa"/>
            <w:bottom w:w="0" w:type="dxa"/>
            <w:right w:w="108" w:type="dxa"/>
          </w:tblCellMar>
        </w:tblPrEx>
        <w:trPr>
          <w:trHeight w:val="4451" w:hRule="atLeast"/>
        </w:trPr>
        <w:tc>
          <w:tcPr>
            <w:tcW w:w="480"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水源保护范围示意图（</w:t>
            </w:r>
            <w:r>
              <w:rPr>
                <w:rFonts w:ascii="Times New Roman" w:hAnsi="Times New Roman" w:eastAsia="仿宋_GB2312"/>
                <w:b/>
                <w:bCs/>
                <w:kern w:val="0"/>
              </w:rPr>
              <w:t>含拐点</w:t>
            </w:r>
            <w:r>
              <w:rPr>
                <w:rFonts w:ascii="Times New Roman" w:hAnsi="Times New Roman" w:eastAsia="仿宋_GB2312"/>
                <w:kern w:val="0"/>
              </w:rPr>
              <w:t>）</w:t>
            </w:r>
          </w:p>
        </w:tc>
        <w:tc>
          <w:tcPr>
            <w:tcW w:w="4520"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4666615" cy="6599555"/>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76113" cy="6612890"/>
                          </a:xfrm>
                          <a:prstGeom prst="rect">
                            <a:avLst/>
                          </a:prstGeom>
                        </pic:spPr>
                      </pic:pic>
                    </a:graphicData>
                  </a:graphic>
                </wp:inline>
              </w:drawing>
            </w:r>
          </w:p>
        </w:tc>
      </w:tr>
      <w:tr>
        <w:tblPrEx>
          <w:tblCellMar>
            <w:top w:w="0" w:type="dxa"/>
            <w:left w:w="108" w:type="dxa"/>
            <w:bottom w:w="0" w:type="dxa"/>
            <w:right w:w="108" w:type="dxa"/>
          </w:tblCellMar>
        </w:tblPrEx>
        <w:trPr>
          <w:trHeight w:val="2981" w:hRule="atLeast"/>
        </w:trPr>
        <w:tc>
          <w:tcPr>
            <w:tcW w:w="480"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拐点坐标</w:t>
            </w:r>
          </w:p>
        </w:tc>
        <w:tc>
          <w:tcPr>
            <w:tcW w:w="4520" w:type="pct"/>
            <w:gridSpan w:val="5"/>
            <w:tcBorders>
              <w:top w:val="single" w:color="auto" w:sz="4" w:space="0"/>
              <w:left w:val="nil"/>
              <w:bottom w:val="single" w:color="auto" w:sz="4" w:space="0"/>
              <w:right w:val="single" w:color="auto" w:sz="4" w:space="0"/>
            </w:tcBorders>
            <w:shd w:val="clear" w:color="auto" w:fill="auto"/>
            <w:noWrap/>
            <w:vAlign w:val="center"/>
          </w:tcPr>
          <w:tbl>
            <w:tblPr>
              <w:tblStyle w:val="31"/>
              <w:tblW w:w="92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38"/>
              <w:gridCol w:w="1538"/>
              <w:gridCol w:w="1538"/>
              <w:gridCol w:w="1538"/>
              <w:gridCol w:w="1538"/>
              <w:gridCol w:w="1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118.87466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30.28819</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118.87592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30.28291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118.87294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30.28566</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118.87476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30.28639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118.87362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30.28391</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118.87471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30.28679</w:t>
                  </w:r>
                </w:p>
              </w:tc>
            </w:tr>
          </w:tbl>
          <w:p>
            <w:pPr>
              <w:widowControl/>
              <w:spacing w:line="240" w:lineRule="auto"/>
              <w:ind w:firstLine="0" w:firstLineChars="0"/>
              <w:jc w:val="center"/>
              <w:rPr>
                <w:rFonts w:ascii="Times New Roman" w:hAnsi="Times New Roman" w:eastAsia="仿宋_GB2312"/>
                <w:kern w:val="0"/>
              </w:rPr>
            </w:pPr>
          </w:p>
        </w:tc>
      </w:tr>
      <w:bookmarkEnd w:id="151"/>
    </w:tbl>
    <w:p>
      <w:pPr>
        <w:pStyle w:val="98"/>
        <w:spacing w:before="120" w:after="240"/>
        <w:rPr>
          <w:rFonts w:ascii="Times New Roman" w:eastAsia="仿宋_GB2312"/>
        </w:rPr>
        <w:sectPr>
          <w:pgSz w:w="11906" w:h="16838"/>
          <w:pgMar w:top="720" w:right="720" w:bottom="720" w:left="720" w:header="851" w:footer="992" w:gutter="0"/>
          <w:cols w:space="720" w:num="1"/>
          <w:docGrid w:linePitch="326" w:charSpace="0"/>
        </w:sectPr>
      </w:pPr>
    </w:p>
    <w:p>
      <w:pPr>
        <w:pStyle w:val="91"/>
        <w:spacing w:before="0" w:after="0"/>
        <w:ind w:left="0" w:leftChars="0"/>
        <w:jc w:val="center"/>
        <w:outlineLvl w:val="1"/>
        <w:rPr>
          <w:rFonts w:eastAsia="仿宋_GB2312"/>
          <w:smallCaps/>
          <w:sz w:val="24"/>
          <w:szCs w:val="22"/>
        </w:rPr>
      </w:pPr>
      <w:bookmarkStart w:id="152" w:name="_Toc65568826"/>
      <w:bookmarkStart w:id="153" w:name="_Toc68612245"/>
      <w:r>
        <w:rPr>
          <w:rFonts w:eastAsia="仿宋_GB2312"/>
          <w:smallCaps/>
          <w:sz w:val="24"/>
          <w:szCs w:val="22"/>
        </w:rPr>
        <w:t>附表6  临安区太湖源镇夏村水库饮用水水源保护区信息登记表</w:t>
      </w:r>
      <w:bookmarkEnd w:id="152"/>
      <w:bookmarkEnd w:id="153"/>
    </w:p>
    <w:tbl>
      <w:tblPr>
        <w:tblStyle w:val="30"/>
        <w:tblW w:w="5000" w:type="pct"/>
        <w:tblInd w:w="0" w:type="dxa"/>
        <w:tblLayout w:type="fixed"/>
        <w:tblCellMar>
          <w:top w:w="0" w:type="dxa"/>
          <w:left w:w="108" w:type="dxa"/>
          <w:bottom w:w="0" w:type="dxa"/>
          <w:right w:w="108" w:type="dxa"/>
        </w:tblCellMar>
      </w:tblPr>
      <w:tblGrid>
        <w:gridCol w:w="1024"/>
        <w:gridCol w:w="1600"/>
        <w:gridCol w:w="711"/>
        <w:gridCol w:w="1776"/>
        <w:gridCol w:w="1868"/>
        <w:gridCol w:w="3704"/>
      </w:tblGrid>
      <w:tr>
        <w:tblPrEx>
          <w:tblCellMar>
            <w:top w:w="0" w:type="dxa"/>
            <w:left w:w="108" w:type="dxa"/>
            <w:bottom w:w="0" w:type="dxa"/>
            <w:right w:w="108" w:type="dxa"/>
          </w:tblCellMar>
        </w:tblPrEx>
        <w:trPr>
          <w:trHeight w:val="523" w:hRule="atLeast"/>
        </w:trPr>
        <w:tc>
          <w:tcPr>
            <w:tcW w:w="122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bookmarkStart w:id="154" w:name="_Hlk66832969"/>
            <w:r>
              <w:rPr>
                <w:rFonts w:ascii="Times New Roman" w:hAnsi="Times New Roman" w:eastAsia="仿宋_GB2312"/>
                <w:kern w:val="0"/>
              </w:rPr>
              <w:t>水源编号</w:t>
            </w:r>
          </w:p>
        </w:tc>
        <w:tc>
          <w:tcPr>
            <w:tcW w:w="1164"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G010210-330185113-R-0120</w:t>
            </w:r>
          </w:p>
        </w:tc>
        <w:tc>
          <w:tcPr>
            <w:tcW w:w="87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水源名称</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夏村</w:t>
            </w:r>
            <w:r>
              <w:rPr>
                <w:rFonts w:ascii="Times New Roman" w:hAnsi="Times New Roman" w:eastAsia="仿宋_GB2312"/>
                <w:kern w:val="0"/>
              </w:rPr>
              <w:t>水库</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水源类型</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小型水库</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所在水系/小流域</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南苕溪</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日供水规模（吨）</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1350</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服务范围</w:t>
            </w:r>
          </w:p>
        </w:tc>
        <w:tc>
          <w:tcPr>
            <w:tcW w:w="173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畈龙村、横徐村、光辉村、碧淙村、南庄村（龙溪、横溪）</w:t>
            </w:r>
          </w:p>
        </w:tc>
      </w:tr>
      <w:tr>
        <w:tblPrEx>
          <w:tblCellMar>
            <w:top w:w="0" w:type="dxa"/>
            <w:left w:w="108" w:type="dxa"/>
            <w:bottom w:w="0" w:type="dxa"/>
            <w:right w:w="108" w:type="dxa"/>
          </w:tblCellMar>
        </w:tblPrEx>
        <w:trPr>
          <w:trHeight w:val="523" w:hRule="atLeast"/>
        </w:trPr>
        <w:tc>
          <w:tcPr>
            <w:tcW w:w="1228" w:type="pct"/>
            <w:gridSpan w:val="2"/>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服务人口（人）</w:t>
            </w:r>
          </w:p>
        </w:tc>
        <w:tc>
          <w:tcPr>
            <w:tcW w:w="1164" w:type="pct"/>
            <w:gridSpan w:val="2"/>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color w:val="000000"/>
                <w:kern w:val="0"/>
              </w:rPr>
              <w:t>7319</w:t>
            </w:r>
          </w:p>
        </w:tc>
        <w:tc>
          <w:tcPr>
            <w:tcW w:w="87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中心点坐标</w:t>
            </w:r>
          </w:p>
        </w:tc>
        <w:tc>
          <w:tcPr>
            <w:tcW w:w="1734"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119°33'50.07"E</w:t>
            </w:r>
          </w:p>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30°19'36.7"N</w:t>
            </w:r>
          </w:p>
        </w:tc>
      </w:tr>
      <w:tr>
        <w:tblPrEx>
          <w:tblCellMar>
            <w:top w:w="0" w:type="dxa"/>
            <w:left w:w="108" w:type="dxa"/>
            <w:bottom w:w="0" w:type="dxa"/>
            <w:right w:w="108" w:type="dxa"/>
          </w:tblCellMar>
        </w:tblPrEx>
        <w:trPr>
          <w:trHeight w:val="523" w:hRule="atLeast"/>
        </w:trPr>
        <w:tc>
          <w:tcPr>
            <w:tcW w:w="479" w:type="pct"/>
            <w:vMerge w:val="restart"/>
            <w:tcBorders>
              <w:top w:val="nil"/>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w:t>
            </w:r>
          </w:p>
        </w:tc>
        <w:tc>
          <w:tcPr>
            <w:tcW w:w="74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一级保护区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一级保护区水域：水库多年平均水位线对应的高程线（260m）以下的全部水域，面积0.060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一级保护区陆域：一级保护区水域外200m范围内陆域，200m范围内存在道路（众潘线）的以道路为界，不超过分水岭，面积0.1 km2。</w:t>
            </w:r>
          </w:p>
        </w:tc>
      </w:tr>
      <w:tr>
        <w:tblPrEx>
          <w:tblCellMar>
            <w:top w:w="0" w:type="dxa"/>
            <w:left w:w="108" w:type="dxa"/>
            <w:bottom w:w="0" w:type="dxa"/>
            <w:right w:w="108" w:type="dxa"/>
          </w:tblCellMar>
        </w:tblPrEx>
        <w:trPr>
          <w:trHeight w:val="523" w:hRule="atLeast"/>
        </w:trPr>
        <w:tc>
          <w:tcPr>
            <w:tcW w:w="479" w:type="pct"/>
            <w:vMerge w:val="continue"/>
            <w:tcBorders>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p>
        </w:tc>
        <w:tc>
          <w:tcPr>
            <w:tcW w:w="74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二级保护区</w:t>
            </w:r>
          </w:p>
        </w:tc>
        <w:tc>
          <w:tcPr>
            <w:tcW w:w="3772" w:type="pct"/>
            <w:gridSpan w:val="4"/>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left"/>
              <w:rPr>
                <w:rFonts w:ascii="Times New Roman" w:hAnsi="Times New Roman" w:eastAsia="仿宋_GB2312"/>
                <w:kern w:val="0"/>
              </w:rPr>
            </w:pPr>
            <w:r>
              <w:rPr>
                <w:rFonts w:hint="eastAsia" w:ascii="Times New Roman" w:hAnsi="Times New Roman" w:eastAsia="仿宋_GB2312"/>
                <w:kern w:val="0"/>
              </w:rPr>
              <w:t>上游流域至龙门寺水库坝址处区间集雨范围（一级保护区外区域），面积3.36 km</w:t>
            </w:r>
            <w:r>
              <w:rPr>
                <w:rFonts w:hint="eastAsia" w:ascii="Times New Roman" w:hAnsi="Times New Roman" w:eastAsia="仿宋_GB2312"/>
                <w:kern w:val="0"/>
                <w:vertAlign w:val="superscript"/>
              </w:rPr>
              <w:t>2</w:t>
            </w:r>
            <w:r>
              <w:rPr>
                <w:rFonts w:hint="eastAsia" w:ascii="Times New Roman" w:hAnsi="Times New Roman" w:eastAsia="仿宋_GB2312"/>
                <w:kern w:val="0"/>
              </w:rPr>
              <w:t>。</w:t>
            </w:r>
          </w:p>
        </w:tc>
      </w:tr>
      <w:tr>
        <w:tblPrEx>
          <w:tblCellMar>
            <w:top w:w="0" w:type="dxa"/>
            <w:left w:w="108" w:type="dxa"/>
            <w:bottom w:w="0" w:type="dxa"/>
            <w:right w:w="108" w:type="dxa"/>
          </w:tblCellMar>
        </w:tblPrEx>
        <w:trPr>
          <w:trHeight w:val="523" w:hRule="atLeast"/>
        </w:trPr>
        <w:tc>
          <w:tcPr>
            <w:tcW w:w="1561" w:type="pct"/>
            <w:gridSpan w:val="3"/>
            <w:tcBorders>
              <w:top w:val="single" w:color="auto" w:sz="4" w:space="0"/>
              <w:left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保护区范围内基本情况介绍（污染源、交通穿越等）</w:t>
            </w:r>
          </w:p>
        </w:tc>
        <w:tc>
          <w:tcPr>
            <w:tcW w:w="3439" w:type="pct"/>
            <w:gridSpan w:val="3"/>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取水口周边无工业污水排口，无养殖场分布，水库取水口附近存在部分夏村村原住民。</w:t>
            </w:r>
          </w:p>
        </w:tc>
      </w:tr>
      <w:tr>
        <w:tblPrEx>
          <w:tblCellMar>
            <w:top w:w="0" w:type="dxa"/>
            <w:left w:w="108" w:type="dxa"/>
            <w:bottom w:w="0" w:type="dxa"/>
            <w:right w:w="108" w:type="dxa"/>
          </w:tblCellMar>
        </w:tblPrEx>
        <w:trPr>
          <w:trHeight w:val="2828" w:hRule="atLeast"/>
        </w:trPr>
        <w:tc>
          <w:tcPr>
            <w:tcW w:w="2392"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b/>
                <w:bCs/>
                <w:snapToGrid w:val="0"/>
                <w:kern w:val="0"/>
              </w:rPr>
              <w:drawing>
                <wp:inline distT="0" distB="0" distL="0" distR="0">
                  <wp:extent cx="2252345" cy="186880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89339" cy="1899520"/>
                          </a:xfrm>
                          <a:prstGeom prst="rect">
                            <a:avLst/>
                          </a:prstGeom>
                          <a:noFill/>
                          <a:ln>
                            <a:noFill/>
                          </a:ln>
                        </pic:spPr>
                      </pic:pic>
                    </a:graphicData>
                  </a:graphic>
                </wp:inline>
              </w:drawing>
            </w:r>
          </w:p>
        </w:tc>
        <w:tc>
          <w:tcPr>
            <w:tcW w:w="2608"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b/>
                <w:bCs/>
                <w:snapToGrid w:val="0"/>
                <w:kern w:val="0"/>
              </w:rPr>
              <w:drawing>
                <wp:inline distT="0" distB="0" distL="0" distR="0">
                  <wp:extent cx="2527300" cy="1868805"/>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559403" cy="1893032"/>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5" w:hRule="atLeast"/>
        </w:trPr>
        <w:tc>
          <w:tcPr>
            <w:tcW w:w="2392" w:type="pct"/>
            <w:gridSpan w:val="4"/>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现场照片一</w:t>
            </w:r>
          </w:p>
        </w:tc>
        <w:tc>
          <w:tcPr>
            <w:tcW w:w="2608" w:type="pct"/>
            <w:gridSpan w:val="2"/>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现场照片二</w:t>
            </w:r>
          </w:p>
        </w:tc>
      </w:tr>
      <w:tr>
        <w:tblPrEx>
          <w:tblCellMar>
            <w:top w:w="0" w:type="dxa"/>
            <w:left w:w="108" w:type="dxa"/>
            <w:bottom w:w="0" w:type="dxa"/>
            <w:right w:w="108" w:type="dxa"/>
          </w:tblCellMar>
        </w:tblPrEx>
        <w:trPr>
          <w:trHeight w:val="4451" w:hRule="atLeast"/>
        </w:trPr>
        <w:tc>
          <w:tcPr>
            <w:tcW w:w="47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水源保护范围示意图（</w:t>
            </w:r>
            <w:r>
              <w:rPr>
                <w:rFonts w:ascii="Times New Roman" w:hAnsi="Times New Roman" w:eastAsia="仿宋_GB2312"/>
                <w:b/>
                <w:bCs/>
                <w:kern w:val="0"/>
              </w:rPr>
              <w:t>含拐点</w:t>
            </w:r>
            <w:r>
              <w:rPr>
                <w:rFonts w:ascii="Times New Roman" w:hAnsi="Times New Roman" w:eastAsia="仿宋_GB2312"/>
                <w:kern w:val="0"/>
              </w:rPr>
              <w:t>）</w:t>
            </w:r>
          </w:p>
        </w:tc>
        <w:tc>
          <w:tcPr>
            <w:tcW w:w="4521" w:type="pct"/>
            <w:gridSpan w:val="5"/>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drawing>
                <wp:inline distT="0" distB="0" distL="0" distR="0">
                  <wp:extent cx="4841875" cy="68478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58889" cy="6871243"/>
                          </a:xfrm>
                          <a:prstGeom prst="rect">
                            <a:avLst/>
                          </a:prstGeom>
                        </pic:spPr>
                      </pic:pic>
                    </a:graphicData>
                  </a:graphic>
                </wp:inline>
              </w:drawing>
            </w:r>
          </w:p>
        </w:tc>
      </w:tr>
      <w:tr>
        <w:tblPrEx>
          <w:tblCellMar>
            <w:top w:w="0" w:type="dxa"/>
            <w:left w:w="108" w:type="dxa"/>
            <w:bottom w:w="0" w:type="dxa"/>
            <w:right w:w="108" w:type="dxa"/>
          </w:tblCellMar>
        </w:tblPrEx>
        <w:trPr>
          <w:trHeight w:val="3264" w:hRule="atLeast"/>
        </w:trPr>
        <w:tc>
          <w:tcPr>
            <w:tcW w:w="47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拐点坐标</w:t>
            </w:r>
          </w:p>
        </w:tc>
        <w:tc>
          <w:tcPr>
            <w:tcW w:w="4521" w:type="pct"/>
            <w:gridSpan w:val="5"/>
            <w:tcBorders>
              <w:top w:val="single" w:color="auto" w:sz="4" w:space="0"/>
              <w:left w:val="nil"/>
              <w:bottom w:val="single" w:color="auto" w:sz="4" w:space="0"/>
              <w:right w:val="single" w:color="auto" w:sz="4" w:space="0"/>
            </w:tcBorders>
            <w:shd w:val="clear" w:color="auto" w:fill="auto"/>
            <w:noWrap/>
            <w:vAlign w:val="center"/>
          </w:tcPr>
          <w:tbl>
            <w:tblPr>
              <w:tblStyle w:val="31"/>
              <w:tblW w:w="92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38"/>
              <w:gridCol w:w="1538"/>
              <w:gridCol w:w="1538"/>
              <w:gridCol w:w="1538"/>
              <w:gridCol w:w="1538"/>
              <w:gridCol w:w="15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序号</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东经</w:t>
                  </w:r>
                </w:p>
              </w:tc>
              <w:tc>
                <w:tcPr>
                  <w:tcW w:w="1538" w:type="dxa"/>
                </w:tcPr>
                <w:p>
                  <w:pPr>
                    <w:widowControl/>
                    <w:spacing w:line="240" w:lineRule="auto"/>
                    <w:ind w:firstLine="0" w:firstLineChars="0"/>
                    <w:jc w:val="center"/>
                    <w:rPr>
                      <w:rFonts w:ascii="Times New Roman" w:hAnsi="Times New Roman" w:eastAsia="仿宋_GB2312"/>
                      <w:b/>
                      <w:bCs/>
                      <w:kern w:val="0"/>
                    </w:rPr>
                  </w:pPr>
                  <w:r>
                    <w:rPr>
                      <w:rFonts w:hint="eastAsia" w:ascii="Times New Roman" w:hAnsi="Times New Roman" w:eastAsia="仿宋_GB2312"/>
                      <w:b/>
                      <w:bCs/>
                      <w:kern w:val="0"/>
                    </w:rPr>
                    <w:t>北纬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119.56537</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30.32669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119.55496</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30.32652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119.57138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30.33332</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界标</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119.56459</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30.32682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119.56568</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30.34207</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警示牌1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119.56301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30.32689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119.55413</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30.34215</w:t>
                  </w:r>
                </w:p>
              </w:tc>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警示牌2</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119.56474</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30.33223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38" w:type="dxa"/>
                </w:tcPr>
                <w:p>
                  <w:pPr>
                    <w:widowControl/>
                    <w:spacing w:line="240" w:lineRule="auto"/>
                    <w:ind w:firstLine="0" w:firstLineChars="0"/>
                    <w:jc w:val="center"/>
                    <w:rPr>
                      <w:rFonts w:ascii="Times New Roman" w:hAnsi="Times New Roman" w:eastAsia="仿宋_GB2312"/>
                      <w:kern w:val="0"/>
                    </w:rPr>
                  </w:pPr>
                  <w:r>
                    <w:rPr>
                      <w:rFonts w:hint="eastAsia" w:ascii="Times New Roman" w:hAnsi="Times New Roman" w:eastAsia="仿宋_GB2312"/>
                      <w:kern w:val="0"/>
                    </w:rPr>
                    <w:t>5</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119.54151</w:t>
                  </w:r>
                </w:p>
              </w:tc>
              <w:tc>
                <w:tcPr>
                  <w:tcW w:w="1538" w:type="dxa"/>
                </w:tcPr>
                <w:p>
                  <w:pPr>
                    <w:widowControl/>
                    <w:spacing w:line="240" w:lineRule="auto"/>
                    <w:ind w:firstLine="0" w:firstLineChars="0"/>
                    <w:jc w:val="center"/>
                    <w:rPr>
                      <w:rFonts w:ascii="Times New Roman" w:hAnsi="Times New Roman" w:eastAsia="仿宋_GB2312"/>
                      <w:kern w:val="0"/>
                    </w:rPr>
                  </w:pPr>
                  <w:r>
                    <w:rPr>
                      <w:rFonts w:ascii="Times New Roman" w:hAnsi="Times New Roman" w:eastAsia="仿宋_GB2312"/>
                      <w:kern w:val="0"/>
                    </w:rPr>
                    <w:t>30.33422</w:t>
                  </w: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c>
                <w:tcPr>
                  <w:tcW w:w="1538" w:type="dxa"/>
                </w:tcPr>
                <w:p>
                  <w:pPr>
                    <w:widowControl/>
                    <w:spacing w:line="240" w:lineRule="auto"/>
                    <w:ind w:firstLine="0" w:firstLineChars="0"/>
                    <w:jc w:val="center"/>
                    <w:rPr>
                      <w:rFonts w:ascii="Times New Roman" w:hAnsi="Times New Roman" w:eastAsia="仿宋_GB2312"/>
                      <w:kern w:val="0"/>
                    </w:rPr>
                  </w:pPr>
                </w:p>
              </w:tc>
            </w:tr>
          </w:tbl>
          <w:p>
            <w:pPr>
              <w:widowControl/>
              <w:spacing w:line="240" w:lineRule="auto"/>
              <w:ind w:firstLine="0" w:firstLineChars="0"/>
              <w:jc w:val="center"/>
              <w:rPr>
                <w:rFonts w:ascii="Times New Roman" w:hAnsi="Times New Roman" w:eastAsia="仿宋_GB2312"/>
                <w:kern w:val="0"/>
              </w:rPr>
            </w:pPr>
          </w:p>
        </w:tc>
      </w:tr>
      <w:bookmarkEnd w:id="154"/>
    </w:tbl>
    <w:p>
      <w:pPr>
        <w:pStyle w:val="98"/>
        <w:spacing w:before="120" w:after="240"/>
        <w:rPr>
          <w:rFonts w:ascii="Times New Roman" w:eastAsia="仿宋_GB2312"/>
        </w:rPr>
        <w:sectPr>
          <w:pgSz w:w="11906" w:h="16838"/>
          <w:pgMar w:top="720" w:right="720" w:bottom="720" w:left="720" w:header="851" w:footer="992" w:gutter="0"/>
          <w:cols w:space="720" w:num="1"/>
          <w:docGrid w:linePitch="326" w:charSpace="0"/>
        </w:sectPr>
      </w:pPr>
    </w:p>
    <w:p>
      <w:pPr>
        <w:pStyle w:val="91"/>
        <w:spacing w:before="0" w:after="0"/>
        <w:ind w:left="0" w:leftChars="0"/>
        <w:jc w:val="center"/>
        <w:outlineLvl w:val="1"/>
        <w:rPr>
          <w:rFonts w:eastAsia="仿宋_GB2312"/>
          <w:smallCaps/>
          <w:sz w:val="24"/>
          <w:szCs w:val="22"/>
        </w:rPr>
      </w:pPr>
      <w:bookmarkStart w:id="155" w:name="_Toc65568827"/>
      <w:bookmarkStart w:id="156" w:name="_Toc68612246"/>
      <w:r>
        <w:rPr>
          <w:rFonts w:eastAsia="仿宋_GB2312"/>
          <w:smallCaps/>
          <w:sz w:val="24"/>
          <w:szCs w:val="22"/>
        </w:rPr>
        <w:t>附图1  临安区龙岗镇华光潭一级水库饮用水水源保护区</w:t>
      </w:r>
      <w:bookmarkEnd w:id="155"/>
      <w:r>
        <w:rPr>
          <w:rFonts w:hint="eastAsia" w:eastAsia="仿宋_GB2312"/>
          <w:smallCaps/>
          <w:sz w:val="24"/>
          <w:szCs w:val="22"/>
        </w:rPr>
        <w:t>范围示意图</w:t>
      </w:r>
      <w:bookmarkEnd w:id="156"/>
    </w:p>
    <w:p>
      <w:pPr>
        <w:pStyle w:val="98"/>
        <w:spacing w:before="0" w:beforeLines="0" w:after="0" w:afterLines="0"/>
        <w:rPr>
          <w:rFonts w:ascii="Times New Roman" w:eastAsia="仿宋_GB2312"/>
        </w:rPr>
      </w:pPr>
      <w:r>
        <w:rPr>
          <w:rFonts w:ascii="Times New Roman" w:eastAsia="仿宋_GB2312"/>
        </w:rPr>
        <w:drawing>
          <wp:inline distT="0" distB="0" distL="0" distR="0">
            <wp:extent cx="5278120" cy="7464425"/>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pPr>
        <w:pStyle w:val="98"/>
        <w:spacing w:before="163" w:after="326"/>
        <w:rPr>
          <w:rFonts w:ascii="Times New Roman" w:eastAsia="仿宋_GB2312"/>
        </w:rPr>
      </w:pPr>
    </w:p>
    <w:p>
      <w:pPr>
        <w:pStyle w:val="98"/>
        <w:spacing w:before="163" w:after="326"/>
        <w:rPr>
          <w:rFonts w:ascii="Times New Roman" w:eastAsia="仿宋_GB2312"/>
        </w:rPr>
        <w:sectPr>
          <w:headerReference r:id="rId14" w:type="default"/>
          <w:footerReference r:id="rId15" w:type="default"/>
          <w:pgSz w:w="11906" w:h="16838"/>
          <w:pgMar w:top="1440" w:right="1797" w:bottom="1440" w:left="1797" w:header="851" w:footer="992" w:gutter="0"/>
          <w:cols w:space="425" w:num="1"/>
          <w:docGrid w:type="lines" w:linePitch="326" w:charSpace="0"/>
        </w:sectPr>
      </w:pPr>
    </w:p>
    <w:p>
      <w:pPr>
        <w:pStyle w:val="91"/>
        <w:spacing w:before="0" w:after="0"/>
        <w:ind w:left="0" w:leftChars="0"/>
        <w:jc w:val="center"/>
        <w:outlineLvl w:val="1"/>
        <w:rPr>
          <w:rFonts w:eastAsia="仿宋_GB2312"/>
          <w:smallCaps/>
          <w:sz w:val="24"/>
          <w:szCs w:val="22"/>
        </w:rPr>
      </w:pPr>
      <w:bookmarkStart w:id="157" w:name="_Toc68612247"/>
      <w:bookmarkStart w:id="158" w:name="_Toc65568829"/>
      <w:r>
        <w:rPr>
          <w:rFonts w:hint="eastAsia" w:eastAsia="仿宋_GB2312"/>
          <w:smallCaps/>
          <w:sz w:val="24"/>
          <w:szCs w:val="22"/>
        </w:rPr>
        <w:t>附图</w:t>
      </w:r>
      <w:r>
        <w:rPr>
          <w:rFonts w:eastAsia="仿宋_GB2312"/>
          <w:smallCaps/>
          <w:sz w:val="24"/>
          <w:szCs w:val="22"/>
        </w:rPr>
        <w:t>2  临安区板桥镇居仁水库饮用水水源保护区</w:t>
      </w:r>
      <w:r>
        <w:rPr>
          <w:rFonts w:hint="eastAsia" w:eastAsia="仿宋_GB2312"/>
          <w:smallCaps/>
          <w:sz w:val="24"/>
          <w:szCs w:val="22"/>
        </w:rPr>
        <w:t>范围示意图</w:t>
      </w:r>
      <w:bookmarkEnd w:id="157"/>
      <w:bookmarkEnd w:id="158"/>
    </w:p>
    <w:p>
      <w:pPr>
        <w:pStyle w:val="98"/>
        <w:spacing w:before="0" w:beforeLines="0" w:after="0" w:afterLines="0"/>
        <w:rPr>
          <w:rFonts w:ascii="Times New Roman" w:eastAsia="仿宋_GB2312"/>
        </w:rPr>
      </w:pPr>
      <w:r>
        <w:rPr>
          <w:rFonts w:ascii="Times New Roman" w:eastAsia="仿宋_GB2312"/>
        </w:rPr>
        <w:drawing>
          <wp:inline distT="0" distB="0" distL="0" distR="0">
            <wp:extent cx="5278120" cy="746442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pPr>
        <w:pStyle w:val="91"/>
        <w:spacing w:before="0" w:after="0"/>
        <w:ind w:left="0" w:leftChars="0"/>
        <w:jc w:val="center"/>
        <w:outlineLvl w:val="1"/>
        <w:rPr>
          <w:rFonts w:eastAsia="仿宋_GB2312"/>
          <w:smallCaps/>
          <w:sz w:val="24"/>
          <w:szCs w:val="22"/>
        </w:rPr>
      </w:pPr>
      <w:bookmarkStart w:id="159" w:name="_Toc68612248"/>
      <w:bookmarkStart w:id="160" w:name="_Toc65568830"/>
      <w:r>
        <w:rPr>
          <w:rFonts w:hint="eastAsia" w:eastAsia="仿宋_GB2312"/>
          <w:smallCaps/>
          <w:sz w:val="24"/>
          <w:szCs w:val="22"/>
        </w:rPr>
        <w:t>附图</w:t>
      </w:r>
      <w:r>
        <w:rPr>
          <w:rFonts w:eastAsia="仿宋_GB2312"/>
          <w:smallCaps/>
          <w:sz w:val="24"/>
          <w:szCs w:val="22"/>
        </w:rPr>
        <w:t>3  临安区河桥镇江岭水库饮用水水源保护区</w:t>
      </w:r>
      <w:r>
        <w:rPr>
          <w:rFonts w:hint="eastAsia" w:eastAsia="仿宋_GB2312"/>
          <w:smallCaps/>
          <w:sz w:val="24"/>
          <w:szCs w:val="22"/>
        </w:rPr>
        <w:t>范围示意图</w:t>
      </w:r>
      <w:bookmarkEnd w:id="159"/>
      <w:bookmarkEnd w:id="160"/>
    </w:p>
    <w:p>
      <w:pPr>
        <w:pStyle w:val="98"/>
        <w:spacing w:before="0" w:beforeLines="0" w:after="0" w:afterLines="0"/>
        <w:rPr>
          <w:rFonts w:ascii="Times New Roman" w:eastAsia="仿宋_GB2312"/>
        </w:rPr>
      </w:pPr>
      <w:r>
        <w:rPr>
          <w:rFonts w:ascii="Times New Roman" w:eastAsia="仿宋_GB2312"/>
        </w:rPr>
        <w:drawing>
          <wp:inline distT="0" distB="0" distL="0" distR="0">
            <wp:extent cx="5278120" cy="7464425"/>
            <wp:effectExtent l="0" t="0" r="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pPr>
        <w:pStyle w:val="91"/>
        <w:spacing w:before="0" w:after="0"/>
        <w:ind w:left="0" w:leftChars="0"/>
        <w:jc w:val="center"/>
        <w:outlineLvl w:val="1"/>
        <w:rPr>
          <w:rFonts w:eastAsia="仿宋_GB2312"/>
          <w:smallCaps/>
          <w:sz w:val="24"/>
          <w:szCs w:val="22"/>
        </w:rPr>
      </w:pPr>
      <w:bookmarkStart w:id="161" w:name="_Toc65568831"/>
      <w:bookmarkStart w:id="162" w:name="_Toc68612249"/>
      <w:r>
        <w:rPr>
          <w:rFonts w:hint="eastAsia" w:eastAsia="仿宋_GB2312"/>
          <w:smallCaps/>
          <w:sz w:val="24"/>
          <w:szCs w:val="22"/>
        </w:rPr>
        <w:t>附图</w:t>
      </w:r>
      <w:r>
        <w:rPr>
          <w:rFonts w:eastAsia="仿宋_GB2312"/>
          <w:smallCaps/>
          <w:sz w:val="24"/>
          <w:szCs w:val="22"/>
        </w:rPr>
        <w:t>4  临安区岛石镇喷洞水库饮用水水源保护区</w:t>
      </w:r>
      <w:r>
        <w:rPr>
          <w:rFonts w:hint="eastAsia" w:eastAsia="仿宋_GB2312"/>
          <w:smallCaps/>
          <w:sz w:val="24"/>
          <w:szCs w:val="22"/>
        </w:rPr>
        <w:t>范围示意图</w:t>
      </w:r>
      <w:bookmarkEnd w:id="161"/>
      <w:bookmarkEnd w:id="162"/>
    </w:p>
    <w:p>
      <w:pPr>
        <w:pStyle w:val="98"/>
        <w:spacing w:before="0" w:beforeLines="0" w:after="0" w:afterLines="0"/>
        <w:rPr>
          <w:rFonts w:ascii="Times New Roman" w:eastAsia="仿宋_GB2312"/>
        </w:rPr>
      </w:pPr>
      <w:r>
        <w:rPr>
          <w:rFonts w:ascii="Times New Roman" w:eastAsia="仿宋_GB2312"/>
        </w:rPr>
        <w:drawing>
          <wp:inline distT="0" distB="0" distL="0" distR="0">
            <wp:extent cx="5278120" cy="7464425"/>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pPr>
        <w:pStyle w:val="91"/>
        <w:spacing w:before="0" w:after="0"/>
        <w:ind w:left="0" w:leftChars="0"/>
        <w:jc w:val="center"/>
        <w:outlineLvl w:val="1"/>
        <w:rPr>
          <w:rFonts w:eastAsia="仿宋_GB2312"/>
          <w:smallCaps/>
          <w:sz w:val="24"/>
          <w:szCs w:val="22"/>
        </w:rPr>
      </w:pPr>
      <w:bookmarkStart w:id="163" w:name="_Toc65568832"/>
      <w:bookmarkStart w:id="164" w:name="_Toc68612250"/>
      <w:r>
        <w:rPr>
          <w:rFonts w:eastAsia="仿宋_GB2312"/>
          <w:smallCaps/>
          <w:sz w:val="24"/>
          <w:szCs w:val="22"/>
        </w:rPr>
        <w:t>附图5  临安区太湖源镇夏村水库饮用水水源保护区</w:t>
      </w:r>
      <w:r>
        <w:rPr>
          <w:rFonts w:hint="eastAsia" w:eastAsia="仿宋_GB2312"/>
          <w:smallCaps/>
          <w:sz w:val="24"/>
          <w:szCs w:val="22"/>
        </w:rPr>
        <w:t>范围示意图</w:t>
      </w:r>
      <w:bookmarkEnd w:id="163"/>
      <w:bookmarkEnd w:id="164"/>
    </w:p>
    <w:p>
      <w:pPr>
        <w:pStyle w:val="98"/>
        <w:spacing w:before="0" w:beforeLines="0" w:after="0" w:afterLines="0"/>
        <w:rPr>
          <w:rFonts w:ascii="Times New Roman" w:eastAsia="仿宋_GB2312"/>
        </w:rPr>
      </w:pPr>
      <w:r>
        <w:rPr>
          <w:rFonts w:ascii="Times New Roman" w:eastAsia="仿宋_GB2312"/>
        </w:rPr>
        <w:drawing>
          <wp:inline distT="0" distB="0" distL="0" distR="0">
            <wp:extent cx="5278120" cy="7464425"/>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pPr>
        <w:pStyle w:val="98"/>
        <w:spacing w:before="163" w:after="326"/>
        <w:rPr>
          <w:rFonts w:ascii="Times New Roman" w:eastAsia="仿宋_GB2312"/>
        </w:rPr>
      </w:pPr>
    </w:p>
    <w:p>
      <w:pPr>
        <w:pStyle w:val="98"/>
        <w:spacing w:before="163" w:after="326"/>
        <w:jc w:val="both"/>
        <w:rPr>
          <w:rFonts w:ascii="Times New Roman" w:eastAsia="仿宋_GB2312"/>
        </w:rPr>
      </w:pPr>
    </w:p>
    <w:p>
      <w:pPr>
        <w:pStyle w:val="98"/>
        <w:spacing w:before="163" w:after="326"/>
        <w:jc w:val="both"/>
        <w:rPr>
          <w:rFonts w:ascii="Times New Roman" w:eastAsia="仿宋_GB2312"/>
        </w:rPr>
      </w:pPr>
    </w:p>
    <w:p>
      <w:pPr>
        <w:pStyle w:val="91"/>
        <w:ind w:leftChars="0"/>
        <w:jc w:val="left"/>
        <w:outlineLvl w:val="1"/>
        <w:rPr>
          <w:rFonts w:eastAsia="仿宋_GB2312"/>
          <w:color w:val="auto"/>
        </w:rPr>
      </w:pPr>
      <w:bookmarkStart w:id="165" w:name="_Toc68612251"/>
      <w:r>
        <w:rPr>
          <w:rFonts w:hint="eastAsia" w:eastAsia="仿宋_GB2312"/>
          <w:color w:val="auto"/>
        </w:rPr>
        <w:t>附件</w:t>
      </w:r>
      <w:r>
        <w:rPr>
          <w:rFonts w:eastAsia="仿宋_GB2312"/>
          <w:color w:val="auto"/>
        </w:rPr>
        <w:t xml:space="preserve">1  </w:t>
      </w:r>
      <w:r>
        <w:rPr>
          <w:rFonts w:hint="eastAsia" w:eastAsia="仿宋_GB2312"/>
          <w:color w:val="auto"/>
        </w:rPr>
        <w:t>专家评审意见</w:t>
      </w:r>
      <w:bookmarkEnd w:id="165"/>
    </w:p>
    <w:p>
      <w:pPr>
        <w:pStyle w:val="98"/>
        <w:spacing w:before="163" w:after="326"/>
        <w:jc w:val="both"/>
        <w:rPr>
          <w:rFonts w:ascii="Times New Roman" w:eastAsia="仿宋_GB2312"/>
        </w:rPr>
        <w:sectPr>
          <w:pgSz w:w="11906" w:h="16838"/>
          <w:pgMar w:top="1440" w:right="1797" w:bottom="1440" w:left="1797" w:header="851" w:footer="992" w:gutter="0"/>
          <w:cols w:space="425" w:num="1"/>
          <w:docGrid w:type="lines" w:linePitch="326" w:charSpace="0"/>
        </w:sectPr>
      </w:pPr>
      <w:r>
        <w:rPr>
          <w:rFonts w:hint="eastAsia" w:ascii="Times New Roman" w:eastAsia="仿宋_GB2312"/>
        </w:rPr>
        <w:drawing>
          <wp:inline distT="0" distB="0" distL="0" distR="0">
            <wp:extent cx="5278120" cy="745934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p>
    <w:p>
      <w:pPr>
        <w:pStyle w:val="91"/>
        <w:ind w:leftChars="0"/>
        <w:jc w:val="left"/>
        <w:outlineLvl w:val="1"/>
        <w:rPr>
          <w:rFonts w:eastAsia="仿宋_GB2312"/>
          <w:color w:val="auto"/>
        </w:rPr>
      </w:pPr>
      <w:bookmarkStart w:id="166" w:name="_Toc68612252"/>
      <w:r>
        <w:rPr>
          <w:rFonts w:hint="eastAsia" w:eastAsia="仿宋_GB2312"/>
          <w:color w:val="auto"/>
        </w:rPr>
        <w:t>附件</w:t>
      </w:r>
      <w:r>
        <w:rPr>
          <w:rFonts w:eastAsia="仿宋_GB2312"/>
          <w:color w:val="auto"/>
        </w:rPr>
        <w:t xml:space="preserve">2  </w:t>
      </w:r>
      <w:r>
        <w:rPr>
          <w:rFonts w:hint="eastAsia" w:eastAsia="仿宋_GB2312"/>
          <w:color w:val="auto"/>
        </w:rPr>
        <w:t>专家签到单</w:t>
      </w:r>
      <w:bookmarkEnd w:id="166"/>
    </w:p>
    <w:p>
      <w:pPr>
        <w:pStyle w:val="54"/>
        <w:spacing w:before="0" w:line="240" w:lineRule="auto"/>
        <w:ind w:firstLine="0" w:firstLineChars="0"/>
        <w:jc w:val="center"/>
        <w:sectPr>
          <w:pgSz w:w="16838" w:h="11906" w:orient="landscape"/>
          <w:pgMar w:top="1797" w:right="1440" w:bottom="1797" w:left="1440" w:header="851" w:footer="992" w:gutter="0"/>
          <w:cols w:space="425" w:num="1"/>
          <w:docGrid w:type="lines" w:linePitch="326" w:charSpace="0"/>
        </w:sectPr>
      </w:pPr>
      <w:r>
        <w:rPr>
          <w:rFonts w:hint="eastAsia"/>
        </w:rPr>
        <w:drawing>
          <wp:inline distT="0" distB="0" distL="0" distR="0">
            <wp:extent cx="4237355" cy="5988685"/>
            <wp:effectExtent l="635"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240508" cy="5992933"/>
                    </a:xfrm>
                    <a:prstGeom prst="rect">
                      <a:avLst/>
                    </a:prstGeom>
                  </pic:spPr>
                </pic:pic>
              </a:graphicData>
            </a:graphic>
          </wp:inline>
        </w:drawing>
      </w:r>
    </w:p>
    <w:p>
      <w:pPr>
        <w:pStyle w:val="91"/>
        <w:ind w:leftChars="0"/>
        <w:jc w:val="left"/>
        <w:outlineLvl w:val="1"/>
        <w:rPr>
          <w:rFonts w:eastAsia="仿宋_GB2312"/>
          <w:color w:val="auto"/>
        </w:rPr>
      </w:pPr>
      <w:bookmarkStart w:id="167" w:name="_Toc68612253"/>
      <w:r>
        <w:rPr>
          <w:rFonts w:hint="eastAsia" w:eastAsia="仿宋_GB2312"/>
          <w:color w:val="auto"/>
        </w:rPr>
        <w:t>附件3</w:t>
      </w:r>
      <w:r>
        <w:rPr>
          <w:rFonts w:eastAsia="仿宋_GB2312"/>
          <w:color w:val="auto"/>
        </w:rPr>
        <w:t xml:space="preserve">  </w:t>
      </w:r>
      <w:r>
        <w:rPr>
          <w:rFonts w:hint="eastAsia" w:eastAsia="仿宋_GB2312"/>
          <w:color w:val="auto"/>
        </w:rPr>
        <w:t>部门意见</w:t>
      </w:r>
      <w:bookmarkEnd w:id="167"/>
    </w:p>
    <w:p>
      <w:pPr>
        <w:spacing w:line="240" w:lineRule="auto"/>
        <w:ind w:firstLine="199" w:firstLineChars="83"/>
      </w:pPr>
      <w:r>
        <w:rPr>
          <w:rFonts w:hint="eastAsia"/>
        </w:rPr>
        <w:drawing>
          <wp:inline distT="0" distB="0" distL="0" distR="0">
            <wp:extent cx="5278120" cy="74676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8120" cy="7467600"/>
                    </a:xfrm>
                    <a:prstGeom prst="rect">
                      <a:avLst/>
                    </a:prstGeom>
                  </pic:spPr>
                </pic:pic>
              </a:graphicData>
            </a:graphic>
          </wp:inline>
        </w:drawing>
      </w:r>
      <w:r>
        <w:rPr>
          <w:rFonts w:hint="eastAsia"/>
        </w:rPr>
        <w:drawing>
          <wp:inline distT="0" distB="0" distL="0" distR="0">
            <wp:extent cx="5278120" cy="746887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rFonts w:hint="eastAsia"/>
        </w:rPr>
        <w:drawing>
          <wp:inline distT="0" distB="0" distL="0" distR="0">
            <wp:extent cx="5278120" cy="7463790"/>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8120" cy="7463790"/>
                    </a:xfrm>
                    <a:prstGeom prst="rect">
                      <a:avLst/>
                    </a:prstGeom>
                  </pic:spPr>
                </pic:pic>
              </a:graphicData>
            </a:graphic>
          </wp:inline>
        </w:drawing>
      </w:r>
      <w:r>
        <w:rPr>
          <w:rFonts w:hint="eastAsia"/>
        </w:rPr>
        <w:drawing>
          <wp:inline distT="0" distB="0" distL="0" distR="0">
            <wp:extent cx="5003800" cy="7494905"/>
            <wp:effectExtent l="0" t="0" r="635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04021" cy="7494909"/>
                    </a:xfrm>
                    <a:prstGeom prst="rect">
                      <a:avLst/>
                    </a:prstGeom>
                  </pic:spPr>
                </pic:pic>
              </a:graphicData>
            </a:graphic>
          </wp:inline>
        </w:drawing>
      </w:r>
      <w:r>
        <w:rPr>
          <w:rFonts w:hint="eastAsia"/>
        </w:rPr>
        <w:drawing>
          <wp:inline distT="0" distB="0" distL="0" distR="0">
            <wp:extent cx="5278120" cy="746125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r>
        <w:rPr>
          <w:rFonts w:hint="eastAsia"/>
        </w:rPr>
        <w:drawing>
          <wp:inline distT="0" distB="0" distL="0" distR="0">
            <wp:extent cx="5278120" cy="726186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278120" cy="7261860"/>
                    </a:xfrm>
                    <a:prstGeom prst="rect">
                      <a:avLst/>
                    </a:prstGeom>
                  </pic:spPr>
                </pic:pic>
              </a:graphicData>
            </a:graphic>
          </wp:inline>
        </w:drawing>
      </w:r>
      <w:r>
        <w:rPr>
          <w:rFonts w:hint="eastAsia"/>
        </w:rPr>
        <w:drawing>
          <wp:inline distT="0" distB="0" distL="0" distR="0">
            <wp:extent cx="5278120" cy="7461250"/>
            <wp:effectExtent l="0" t="0" r="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8120" cy="7461250"/>
                    </a:xfrm>
                    <a:prstGeom prst="rect">
                      <a:avLst/>
                    </a:prstGeom>
                  </pic:spPr>
                </pic:pic>
              </a:graphicData>
            </a:graphic>
          </wp:inline>
        </w:drawing>
      </w:r>
      <w:r>
        <w:rPr>
          <w:rFonts w:hint="eastAsia"/>
        </w:rPr>
        <w:drawing>
          <wp:inline distT="0" distB="0" distL="0" distR="0">
            <wp:extent cx="5278120" cy="682879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8120" cy="6828790"/>
                    </a:xfrm>
                    <a:prstGeom prst="rect">
                      <a:avLst/>
                    </a:prstGeom>
                  </pic:spPr>
                </pic:pic>
              </a:graphicData>
            </a:graphic>
          </wp:inline>
        </w:drawing>
      </w:r>
    </w:p>
    <w:p>
      <w:pPr>
        <w:spacing w:line="240" w:lineRule="auto"/>
        <w:ind w:firstLine="199" w:firstLineChars="83"/>
      </w:pPr>
      <w:r>
        <w:drawing>
          <wp:inline distT="0" distB="0" distL="0" distR="0">
            <wp:extent cx="5278120" cy="703770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8120" cy="7037705"/>
                    </a:xfrm>
                    <a:prstGeom prst="rect">
                      <a:avLst/>
                    </a:prstGeom>
                    <a:noFill/>
                    <a:ln>
                      <a:noFill/>
                    </a:ln>
                  </pic:spPr>
                </pic:pic>
              </a:graphicData>
            </a:graphic>
          </wp:inline>
        </w:drawing>
      </w:r>
    </w:p>
    <w:p>
      <w:pPr>
        <w:spacing w:line="240" w:lineRule="auto"/>
        <w:ind w:firstLine="199" w:firstLineChars="83"/>
      </w:pPr>
      <w:r>
        <w:rPr>
          <w:rFonts w:hint="eastAsia"/>
        </w:rPr>
        <w:drawing>
          <wp:inline distT="0" distB="0" distL="0" distR="0">
            <wp:extent cx="4305300" cy="6220460"/>
            <wp:effectExtent l="0" t="0" r="0"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305901" cy="6220693"/>
                    </a:xfrm>
                    <a:prstGeom prst="rect">
                      <a:avLst/>
                    </a:prstGeom>
                  </pic:spPr>
                </pic:pic>
              </a:graphicData>
            </a:graphic>
          </wp:inline>
        </w:drawing>
      </w:r>
    </w:p>
    <w:p>
      <w:pPr>
        <w:spacing w:line="240" w:lineRule="auto"/>
        <w:ind w:firstLine="199" w:firstLineChars="83"/>
      </w:pPr>
      <w:r>
        <w:drawing>
          <wp:inline distT="0" distB="0" distL="0" distR="0">
            <wp:extent cx="5276850" cy="76009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6850" cy="7600950"/>
                    </a:xfrm>
                    <a:prstGeom prst="rect">
                      <a:avLst/>
                    </a:prstGeom>
                    <a:noFill/>
                    <a:ln>
                      <a:noFill/>
                    </a:ln>
                  </pic:spPr>
                </pic:pic>
              </a:graphicData>
            </a:graphic>
          </wp:inline>
        </w:drawing>
      </w:r>
    </w:p>
    <w:p>
      <w:pPr>
        <w:spacing w:line="240" w:lineRule="auto"/>
        <w:ind w:firstLine="199" w:firstLineChars="83"/>
        <w:sectPr>
          <w:pgSz w:w="11906" w:h="16838"/>
          <w:pgMar w:top="1440" w:right="1797" w:bottom="1440" w:left="1797" w:header="851" w:footer="992" w:gutter="0"/>
          <w:cols w:space="425" w:num="1"/>
          <w:docGrid w:type="lines" w:linePitch="326" w:charSpace="0"/>
        </w:sectPr>
      </w:pPr>
      <w:r>
        <w:drawing>
          <wp:inline distT="0" distB="0" distL="0" distR="0">
            <wp:extent cx="5276850" cy="74676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6850" cy="7467600"/>
                    </a:xfrm>
                    <a:prstGeom prst="rect">
                      <a:avLst/>
                    </a:prstGeom>
                    <a:noFill/>
                    <a:ln>
                      <a:noFill/>
                    </a:ln>
                  </pic:spPr>
                </pic:pic>
              </a:graphicData>
            </a:graphic>
          </wp:inline>
        </w:drawing>
      </w:r>
    </w:p>
    <w:p>
      <w:pPr>
        <w:pStyle w:val="91"/>
        <w:ind w:leftChars="0"/>
        <w:jc w:val="left"/>
        <w:outlineLvl w:val="1"/>
        <w:rPr>
          <w:rFonts w:eastAsia="仿宋_GB2312"/>
          <w:color w:val="auto"/>
        </w:rPr>
      </w:pPr>
      <w:bookmarkStart w:id="168" w:name="_Toc68612254"/>
      <w:r>
        <w:rPr>
          <w:rFonts w:hint="eastAsia" w:eastAsia="仿宋_GB2312"/>
          <w:color w:val="auto"/>
        </w:rPr>
        <w:t>附件4</w:t>
      </w:r>
      <w:r>
        <w:rPr>
          <w:rFonts w:eastAsia="仿宋_GB2312"/>
          <w:color w:val="auto"/>
        </w:rPr>
        <w:t xml:space="preserve">  </w:t>
      </w:r>
      <w:r>
        <w:rPr>
          <w:rFonts w:hint="eastAsia" w:eastAsia="仿宋_GB2312"/>
          <w:color w:val="auto"/>
        </w:rPr>
        <w:t>仙人塘水厂环评批复文件</w:t>
      </w:r>
      <w:bookmarkEnd w:id="168"/>
    </w:p>
    <w:p>
      <w:pPr>
        <w:spacing w:line="240" w:lineRule="auto"/>
        <w:ind w:firstLine="199" w:firstLineChars="83"/>
      </w:pPr>
      <w:r>
        <w:rPr>
          <w:rFonts w:hint="eastAsia"/>
        </w:rPr>
        <w:drawing>
          <wp:inline distT="0" distB="0" distL="0" distR="0">
            <wp:extent cx="5278120" cy="7463155"/>
            <wp:effectExtent l="0" t="0" r="0" b="44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hint="eastAsia"/>
        </w:rPr>
        <w:drawing>
          <wp:inline distT="0" distB="0" distL="0" distR="0">
            <wp:extent cx="5278120" cy="7461885"/>
            <wp:effectExtent l="0" t="0" r="0"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8120" cy="7461885"/>
                    </a:xfrm>
                    <a:prstGeom prst="rect">
                      <a:avLst/>
                    </a:prstGeom>
                  </pic:spPr>
                </pic:pic>
              </a:graphicData>
            </a:graphic>
          </wp:inline>
        </w:drawing>
      </w:r>
    </w:p>
    <w:sectPr>
      <w:pgSz w:w="11906" w:h="16838"/>
      <w:pgMar w:top="1440" w:right="1797" w:bottom="1440" w:left="1797"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71041258"/>
      <w:docPartObj>
        <w:docPartGallery w:val="AutoText"/>
      </w:docPartObj>
    </w:sdtPr>
    <w:sdtContent>
      <w:p>
        <w:pPr>
          <w:pStyle w:val="19"/>
          <w:ind w:firstLine="360"/>
          <w:jc w:val="center"/>
        </w:pPr>
        <w:r>
          <w:fldChar w:fldCharType="begin"/>
        </w:r>
        <w:r>
          <w:instrText xml:space="preserve">PAGE   \* MERGEFORMAT</w:instrText>
        </w:r>
        <w:r>
          <w:fldChar w:fldCharType="separate"/>
        </w:r>
        <w:r>
          <w:rPr>
            <w:lang w:val="zh-CN"/>
          </w:rPr>
          <w:t>III</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13667193"/>
    </w:sdtPr>
    <w:sdtEndPr>
      <w:rPr>
        <w:rFonts w:ascii="Times New Roman" w:hAnsi="Times New Roman"/>
      </w:rPr>
    </w:sdtEndPr>
    <w:sdtContent>
      <w:p>
        <w:pPr>
          <w:pStyle w:val="19"/>
          <w:ind w:firstLine="36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49</w:t>
        </w:r>
        <w:r>
          <w:rPr>
            <w:rFonts w:ascii="Times New Roman" w:hAnsi="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5594564"/>
      <w:docPartObj>
        <w:docPartGallery w:val="AutoText"/>
      </w:docPartObj>
    </w:sdtPr>
    <w:sdtEndPr>
      <w:rPr>
        <w:rFonts w:ascii="Times New Roman" w:hAnsi="Times New Roman"/>
      </w:rPr>
    </w:sdtEndPr>
    <w:sdtContent>
      <w:p>
        <w:pPr>
          <w:pStyle w:val="19"/>
          <w:ind w:firstLine="36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69</w:t>
        </w:r>
        <w:r>
          <w:rPr>
            <w:rFonts w:ascii="Times New Roman" w:hAns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r>
      <w:rPr>
        <w:rFonts w:hint="eastAsia"/>
      </w:rPr>
      <w:t>临安区“千吨万人”水源地保护区划定方案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B955708"/>
    <w:multiLevelType w:val="multilevel"/>
    <w:tmpl w:val="4B95570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51310916"/>
    <w:multiLevelType w:val="multilevel"/>
    <w:tmpl w:val="51310916"/>
    <w:lvl w:ilvl="0" w:tentative="0">
      <w:start w:val="1"/>
      <w:numFmt w:val="decimal"/>
      <w:pStyle w:val="89"/>
      <w:lvlText w:val="%1)"/>
      <w:lvlJc w:val="left"/>
      <w:pPr>
        <w:ind w:left="846" w:hanging="420"/>
      </w:p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2">
    <w:nsid w:val="58045BB0"/>
    <w:multiLevelType w:val="multilevel"/>
    <w:tmpl w:val="58045BB0"/>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163"/>
  <w:displayHorizontalDrawingGridEvery w:val="0"/>
  <w:displayVerticalDrawingGridEvery w:val="2"/>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AFC"/>
    <w:rsid w:val="00001F21"/>
    <w:rsid w:val="00001F4C"/>
    <w:rsid w:val="00002057"/>
    <w:rsid w:val="00002104"/>
    <w:rsid w:val="00002BC1"/>
    <w:rsid w:val="00003677"/>
    <w:rsid w:val="0000436B"/>
    <w:rsid w:val="00004C37"/>
    <w:rsid w:val="000058B7"/>
    <w:rsid w:val="00006727"/>
    <w:rsid w:val="00006FF6"/>
    <w:rsid w:val="000072B3"/>
    <w:rsid w:val="00012B7F"/>
    <w:rsid w:val="00012BE9"/>
    <w:rsid w:val="00012DF1"/>
    <w:rsid w:val="0001379E"/>
    <w:rsid w:val="00013C6E"/>
    <w:rsid w:val="00015F5D"/>
    <w:rsid w:val="000160E0"/>
    <w:rsid w:val="00017105"/>
    <w:rsid w:val="00017F13"/>
    <w:rsid w:val="000219D2"/>
    <w:rsid w:val="0002291B"/>
    <w:rsid w:val="00023AED"/>
    <w:rsid w:val="00023CCC"/>
    <w:rsid w:val="00024E93"/>
    <w:rsid w:val="00025055"/>
    <w:rsid w:val="00025401"/>
    <w:rsid w:val="00026605"/>
    <w:rsid w:val="00027716"/>
    <w:rsid w:val="00027BF3"/>
    <w:rsid w:val="000313CE"/>
    <w:rsid w:val="00033ABF"/>
    <w:rsid w:val="00034A08"/>
    <w:rsid w:val="00036C28"/>
    <w:rsid w:val="000370A2"/>
    <w:rsid w:val="0003753E"/>
    <w:rsid w:val="00037EA6"/>
    <w:rsid w:val="000414E1"/>
    <w:rsid w:val="0004176B"/>
    <w:rsid w:val="000426A1"/>
    <w:rsid w:val="0004316A"/>
    <w:rsid w:val="00045293"/>
    <w:rsid w:val="00045376"/>
    <w:rsid w:val="00045491"/>
    <w:rsid w:val="000466E9"/>
    <w:rsid w:val="00046D61"/>
    <w:rsid w:val="000479A4"/>
    <w:rsid w:val="00047C70"/>
    <w:rsid w:val="00050AC7"/>
    <w:rsid w:val="00051BBA"/>
    <w:rsid w:val="00052380"/>
    <w:rsid w:val="00052711"/>
    <w:rsid w:val="0005391C"/>
    <w:rsid w:val="000545F2"/>
    <w:rsid w:val="0005567E"/>
    <w:rsid w:val="00055B87"/>
    <w:rsid w:val="000564A0"/>
    <w:rsid w:val="00056D4E"/>
    <w:rsid w:val="000570E0"/>
    <w:rsid w:val="00057A41"/>
    <w:rsid w:val="00061115"/>
    <w:rsid w:val="00061D3F"/>
    <w:rsid w:val="00062AB3"/>
    <w:rsid w:val="00062DEA"/>
    <w:rsid w:val="00062E02"/>
    <w:rsid w:val="0006346A"/>
    <w:rsid w:val="0006403E"/>
    <w:rsid w:val="00064EF2"/>
    <w:rsid w:val="0006581A"/>
    <w:rsid w:val="00065CB9"/>
    <w:rsid w:val="0006786F"/>
    <w:rsid w:val="00067A6C"/>
    <w:rsid w:val="00067B08"/>
    <w:rsid w:val="00067FE6"/>
    <w:rsid w:val="000700AC"/>
    <w:rsid w:val="000718CC"/>
    <w:rsid w:val="00071A69"/>
    <w:rsid w:val="00072486"/>
    <w:rsid w:val="0007264D"/>
    <w:rsid w:val="00072F45"/>
    <w:rsid w:val="00075136"/>
    <w:rsid w:val="000752B7"/>
    <w:rsid w:val="00075E67"/>
    <w:rsid w:val="00076104"/>
    <w:rsid w:val="00076655"/>
    <w:rsid w:val="0007797F"/>
    <w:rsid w:val="00080F85"/>
    <w:rsid w:val="00081D72"/>
    <w:rsid w:val="000825F4"/>
    <w:rsid w:val="000827DE"/>
    <w:rsid w:val="00083190"/>
    <w:rsid w:val="00083393"/>
    <w:rsid w:val="00085166"/>
    <w:rsid w:val="00085653"/>
    <w:rsid w:val="00085BBE"/>
    <w:rsid w:val="0008720C"/>
    <w:rsid w:val="00087378"/>
    <w:rsid w:val="000873AA"/>
    <w:rsid w:val="000913FB"/>
    <w:rsid w:val="00092794"/>
    <w:rsid w:val="00092822"/>
    <w:rsid w:val="000930C8"/>
    <w:rsid w:val="000946CC"/>
    <w:rsid w:val="00095206"/>
    <w:rsid w:val="000954C3"/>
    <w:rsid w:val="00096EE9"/>
    <w:rsid w:val="00097C64"/>
    <w:rsid w:val="000A0518"/>
    <w:rsid w:val="000A08B1"/>
    <w:rsid w:val="000A08D3"/>
    <w:rsid w:val="000A17E7"/>
    <w:rsid w:val="000A227A"/>
    <w:rsid w:val="000A253A"/>
    <w:rsid w:val="000A3936"/>
    <w:rsid w:val="000A435B"/>
    <w:rsid w:val="000A538C"/>
    <w:rsid w:val="000A6EBE"/>
    <w:rsid w:val="000A79ED"/>
    <w:rsid w:val="000B1D93"/>
    <w:rsid w:val="000B22A3"/>
    <w:rsid w:val="000B2A40"/>
    <w:rsid w:val="000B4641"/>
    <w:rsid w:val="000B4884"/>
    <w:rsid w:val="000B5CF4"/>
    <w:rsid w:val="000B609C"/>
    <w:rsid w:val="000B6F37"/>
    <w:rsid w:val="000B760E"/>
    <w:rsid w:val="000C0691"/>
    <w:rsid w:val="000C13E8"/>
    <w:rsid w:val="000C22DA"/>
    <w:rsid w:val="000C260F"/>
    <w:rsid w:val="000C2E0A"/>
    <w:rsid w:val="000C319F"/>
    <w:rsid w:val="000C3836"/>
    <w:rsid w:val="000C3BB5"/>
    <w:rsid w:val="000C423A"/>
    <w:rsid w:val="000C4756"/>
    <w:rsid w:val="000C4BC7"/>
    <w:rsid w:val="000C52D5"/>
    <w:rsid w:val="000C57F2"/>
    <w:rsid w:val="000C594C"/>
    <w:rsid w:val="000C5F4D"/>
    <w:rsid w:val="000C7843"/>
    <w:rsid w:val="000C7F84"/>
    <w:rsid w:val="000D0FC2"/>
    <w:rsid w:val="000D17B2"/>
    <w:rsid w:val="000D26DE"/>
    <w:rsid w:val="000D3498"/>
    <w:rsid w:val="000D3A19"/>
    <w:rsid w:val="000D41BB"/>
    <w:rsid w:val="000D4475"/>
    <w:rsid w:val="000D5C75"/>
    <w:rsid w:val="000D654D"/>
    <w:rsid w:val="000D69A1"/>
    <w:rsid w:val="000D6CFC"/>
    <w:rsid w:val="000D78DC"/>
    <w:rsid w:val="000D7DC6"/>
    <w:rsid w:val="000D7E16"/>
    <w:rsid w:val="000E06F5"/>
    <w:rsid w:val="000E0CEA"/>
    <w:rsid w:val="000E0F31"/>
    <w:rsid w:val="000E1010"/>
    <w:rsid w:val="000E283F"/>
    <w:rsid w:val="000E411D"/>
    <w:rsid w:val="000E5973"/>
    <w:rsid w:val="000E5A78"/>
    <w:rsid w:val="000E5E58"/>
    <w:rsid w:val="000E6B02"/>
    <w:rsid w:val="000F02C9"/>
    <w:rsid w:val="000F0BBA"/>
    <w:rsid w:val="000F1A04"/>
    <w:rsid w:val="000F439B"/>
    <w:rsid w:val="000F4A5C"/>
    <w:rsid w:val="000F5678"/>
    <w:rsid w:val="000F62CC"/>
    <w:rsid w:val="000F6B15"/>
    <w:rsid w:val="000F7CED"/>
    <w:rsid w:val="00101F43"/>
    <w:rsid w:val="001025B9"/>
    <w:rsid w:val="001027DC"/>
    <w:rsid w:val="00103FFD"/>
    <w:rsid w:val="00104883"/>
    <w:rsid w:val="00104CDB"/>
    <w:rsid w:val="00104E5A"/>
    <w:rsid w:val="00105754"/>
    <w:rsid w:val="00105AD8"/>
    <w:rsid w:val="0010661B"/>
    <w:rsid w:val="0011132D"/>
    <w:rsid w:val="0011191C"/>
    <w:rsid w:val="0011247A"/>
    <w:rsid w:val="00112582"/>
    <w:rsid w:val="00112FE6"/>
    <w:rsid w:val="00113A5F"/>
    <w:rsid w:val="001141FF"/>
    <w:rsid w:val="00114DC4"/>
    <w:rsid w:val="00115031"/>
    <w:rsid w:val="001163FC"/>
    <w:rsid w:val="00116F68"/>
    <w:rsid w:val="0011787B"/>
    <w:rsid w:val="00120723"/>
    <w:rsid w:val="0012159E"/>
    <w:rsid w:val="001218E0"/>
    <w:rsid w:val="001247AD"/>
    <w:rsid w:val="001255CD"/>
    <w:rsid w:val="0013065D"/>
    <w:rsid w:val="001309EC"/>
    <w:rsid w:val="0013233D"/>
    <w:rsid w:val="00132D4B"/>
    <w:rsid w:val="001334F5"/>
    <w:rsid w:val="001337CC"/>
    <w:rsid w:val="00134F1D"/>
    <w:rsid w:val="001356A5"/>
    <w:rsid w:val="001361F2"/>
    <w:rsid w:val="0014022D"/>
    <w:rsid w:val="00140B5C"/>
    <w:rsid w:val="00140D09"/>
    <w:rsid w:val="001414A6"/>
    <w:rsid w:val="00141A25"/>
    <w:rsid w:val="00143814"/>
    <w:rsid w:val="001455D1"/>
    <w:rsid w:val="001467E5"/>
    <w:rsid w:val="0014725B"/>
    <w:rsid w:val="001474D5"/>
    <w:rsid w:val="001509AF"/>
    <w:rsid w:val="00150C72"/>
    <w:rsid w:val="001511CA"/>
    <w:rsid w:val="001527AE"/>
    <w:rsid w:val="001529BB"/>
    <w:rsid w:val="00153E9E"/>
    <w:rsid w:val="001558F9"/>
    <w:rsid w:val="0015732D"/>
    <w:rsid w:val="00157589"/>
    <w:rsid w:val="00157BB4"/>
    <w:rsid w:val="00157F92"/>
    <w:rsid w:val="001607A7"/>
    <w:rsid w:val="00161711"/>
    <w:rsid w:val="00162401"/>
    <w:rsid w:val="00163200"/>
    <w:rsid w:val="0016360F"/>
    <w:rsid w:val="001637D0"/>
    <w:rsid w:val="00163ECC"/>
    <w:rsid w:val="00165029"/>
    <w:rsid w:val="0016550B"/>
    <w:rsid w:val="001655DA"/>
    <w:rsid w:val="00167F16"/>
    <w:rsid w:val="00170A5F"/>
    <w:rsid w:val="001716E1"/>
    <w:rsid w:val="00171857"/>
    <w:rsid w:val="00172A27"/>
    <w:rsid w:val="001749A9"/>
    <w:rsid w:val="00175424"/>
    <w:rsid w:val="00175EC9"/>
    <w:rsid w:val="001760F5"/>
    <w:rsid w:val="00176283"/>
    <w:rsid w:val="001764D5"/>
    <w:rsid w:val="00176786"/>
    <w:rsid w:val="001768AD"/>
    <w:rsid w:val="00176ACB"/>
    <w:rsid w:val="0017743F"/>
    <w:rsid w:val="00180C07"/>
    <w:rsid w:val="00180C3F"/>
    <w:rsid w:val="0018138A"/>
    <w:rsid w:val="00181643"/>
    <w:rsid w:val="00182D26"/>
    <w:rsid w:val="0018402D"/>
    <w:rsid w:val="00187088"/>
    <w:rsid w:val="00190250"/>
    <w:rsid w:val="001911A4"/>
    <w:rsid w:val="0019213A"/>
    <w:rsid w:val="001939E5"/>
    <w:rsid w:val="00194537"/>
    <w:rsid w:val="001946E8"/>
    <w:rsid w:val="001949C3"/>
    <w:rsid w:val="00195196"/>
    <w:rsid w:val="00195D97"/>
    <w:rsid w:val="00196050"/>
    <w:rsid w:val="0019721D"/>
    <w:rsid w:val="0019750B"/>
    <w:rsid w:val="001A0AD9"/>
    <w:rsid w:val="001A0FC7"/>
    <w:rsid w:val="001A1138"/>
    <w:rsid w:val="001A1855"/>
    <w:rsid w:val="001A22D2"/>
    <w:rsid w:val="001A2D1E"/>
    <w:rsid w:val="001A37E0"/>
    <w:rsid w:val="001A3E3F"/>
    <w:rsid w:val="001A4B19"/>
    <w:rsid w:val="001A689C"/>
    <w:rsid w:val="001A734B"/>
    <w:rsid w:val="001A73A6"/>
    <w:rsid w:val="001B0655"/>
    <w:rsid w:val="001B0B09"/>
    <w:rsid w:val="001B0C0C"/>
    <w:rsid w:val="001B238B"/>
    <w:rsid w:val="001B2583"/>
    <w:rsid w:val="001B2C98"/>
    <w:rsid w:val="001B5891"/>
    <w:rsid w:val="001B5CAE"/>
    <w:rsid w:val="001B6CA5"/>
    <w:rsid w:val="001B6EC7"/>
    <w:rsid w:val="001B7724"/>
    <w:rsid w:val="001B7E70"/>
    <w:rsid w:val="001C04B7"/>
    <w:rsid w:val="001C1033"/>
    <w:rsid w:val="001C1799"/>
    <w:rsid w:val="001C6852"/>
    <w:rsid w:val="001C698E"/>
    <w:rsid w:val="001C77DF"/>
    <w:rsid w:val="001D0D72"/>
    <w:rsid w:val="001D15F1"/>
    <w:rsid w:val="001D1FAC"/>
    <w:rsid w:val="001D291C"/>
    <w:rsid w:val="001D29DA"/>
    <w:rsid w:val="001D35F9"/>
    <w:rsid w:val="001D6121"/>
    <w:rsid w:val="001D6804"/>
    <w:rsid w:val="001D6D91"/>
    <w:rsid w:val="001D7CEE"/>
    <w:rsid w:val="001E0334"/>
    <w:rsid w:val="001E1B9F"/>
    <w:rsid w:val="001E2B5F"/>
    <w:rsid w:val="001E51CC"/>
    <w:rsid w:val="001E5276"/>
    <w:rsid w:val="001E67B1"/>
    <w:rsid w:val="001F014C"/>
    <w:rsid w:val="001F0282"/>
    <w:rsid w:val="001F1CD6"/>
    <w:rsid w:val="001F1DB4"/>
    <w:rsid w:val="001F2031"/>
    <w:rsid w:val="001F2449"/>
    <w:rsid w:val="001F3EFB"/>
    <w:rsid w:val="001F44E2"/>
    <w:rsid w:val="001F5260"/>
    <w:rsid w:val="001F529B"/>
    <w:rsid w:val="001F5422"/>
    <w:rsid w:val="001F58A7"/>
    <w:rsid w:val="00200A77"/>
    <w:rsid w:val="00202B29"/>
    <w:rsid w:val="00203CBE"/>
    <w:rsid w:val="00203D17"/>
    <w:rsid w:val="002053B1"/>
    <w:rsid w:val="002057AA"/>
    <w:rsid w:val="0020616F"/>
    <w:rsid w:val="002061E9"/>
    <w:rsid w:val="002067B7"/>
    <w:rsid w:val="00206977"/>
    <w:rsid w:val="00207135"/>
    <w:rsid w:val="00207D27"/>
    <w:rsid w:val="002100EC"/>
    <w:rsid w:val="00211121"/>
    <w:rsid w:val="00211164"/>
    <w:rsid w:val="00211EC0"/>
    <w:rsid w:val="00213BFD"/>
    <w:rsid w:val="00213EAB"/>
    <w:rsid w:val="00215123"/>
    <w:rsid w:val="00215143"/>
    <w:rsid w:val="0021587A"/>
    <w:rsid w:val="00216F71"/>
    <w:rsid w:val="002171BC"/>
    <w:rsid w:val="00221727"/>
    <w:rsid w:val="0022340B"/>
    <w:rsid w:val="0022351A"/>
    <w:rsid w:val="00223551"/>
    <w:rsid w:val="00224284"/>
    <w:rsid w:val="00224A2E"/>
    <w:rsid w:val="002302E7"/>
    <w:rsid w:val="00230C1B"/>
    <w:rsid w:val="00230DA0"/>
    <w:rsid w:val="00231CD9"/>
    <w:rsid w:val="00232582"/>
    <w:rsid w:val="00232DF7"/>
    <w:rsid w:val="00234A75"/>
    <w:rsid w:val="002418B6"/>
    <w:rsid w:val="00241C18"/>
    <w:rsid w:val="00241C22"/>
    <w:rsid w:val="00241C57"/>
    <w:rsid w:val="00241FEF"/>
    <w:rsid w:val="0024367E"/>
    <w:rsid w:val="00244D2A"/>
    <w:rsid w:val="002457BE"/>
    <w:rsid w:val="00246D79"/>
    <w:rsid w:val="002477AB"/>
    <w:rsid w:val="00247C68"/>
    <w:rsid w:val="0025115A"/>
    <w:rsid w:val="00252955"/>
    <w:rsid w:val="00253F7D"/>
    <w:rsid w:val="0025495A"/>
    <w:rsid w:val="00254A72"/>
    <w:rsid w:val="002559A6"/>
    <w:rsid w:val="0025771F"/>
    <w:rsid w:val="0026009F"/>
    <w:rsid w:val="00262A4E"/>
    <w:rsid w:val="002636F1"/>
    <w:rsid w:val="00263B9B"/>
    <w:rsid w:val="0026410E"/>
    <w:rsid w:val="00264C3A"/>
    <w:rsid w:val="00264FB5"/>
    <w:rsid w:val="002662C6"/>
    <w:rsid w:val="00266547"/>
    <w:rsid w:val="002717E8"/>
    <w:rsid w:val="00271B95"/>
    <w:rsid w:val="00271DCD"/>
    <w:rsid w:val="00272511"/>
    <w:rsid w:val="002729C3"/>
    <w:rsid w:val="002730D8"/>
    <w:rsid w:val="00273F6F"/>
    <w:rsid w:val="00273FD8"/>
    <w:rsid w:val="0027440A"/>
    <w:rsid w:val="00274798"/>
    <w:rsid w:val="00276134"/>
    <w:rsid w:val="002770B0"/>
    <w:rsid w:val="0028067C"/>
    <w:rsid w:val="00280D2D"/>
    <w:rsid w:val="00280D8C"/>
    <w:rsid w:val="002814BD"/>
    <w:rsid w:val="00281AE8"/>
    <w:rsid w:val="0028276E"/>
    <w:rsid w:val="0028393F"/>
    <w:rsid w:val="00283BC5"/>
    <w:rsid w:val="00284961"/>
    <w:rsid w:val="002855D9"/>
    <w:rsid w:val="00286D1D"/>
    <w:rsid w:val="00286D3D"/>
    <w:rsid w:val="00287EF6"/>
    <w:rsid w:val="00290D1E"/>
    <w:rsid w:val="00291E94"/>
    <w:rsid w:val="00293416"/>
    <w:rsid w:val="002938D9"/>
    <w:rsid w:val="002946F0"/>
    <w:rsid w:val="00294770"/>
    <w:rsid w:val="00294819"/>
    <w:rsid w:val="00294E97"/>
    <w:rsid w:val="0029515B"/>
    <w:rsid w:val="00295B58"/>
    <w:rsid w:val="00295D97"/>
    <w:rsid w:val="00296217"/>
    <w:rsid w:val="00296225"/>
    <w:rsid w:val="00296E28"/>
    <w:rsid w:val="00297237"/>
    <w:rsid w:val="00297C44"/>
    <w:rsid w:val="00297C5C"/>
    <w:rsid w:val="002A0260"/>
    <w:rsid w:val="002A0409"/>
    <w:rsid w:val="002A12D6"/>
    <w:rsid w:val="002A1511"/>
    <w:rsid w:val="002A17D8"/>
    <w:rsid w:val="002A1B9E"/>
    <w:rsid w:val="002A2F24"/>
    <w:rsid w:val="002A521E"/>
    <w:rsid w:val="002A773B"/>
    <w:rsid w:val="002A775F"/>
    <w:rsid w:val="002B021F"/>
    <w:rsid w:val="002B1773"/>
    <w:rsid w:val="002B37B4"/>
    <w:rsid w:val="002B38B3"/>
    <w:rsid w:val="002B39BD"/>
    <w:rsid w:val="002B481E"/>
    <w:rsid w:val="002B4D8A"/>
    <w:rsid w:val="002B4F25"/>
    <w:rsid w:val="002B53FC"/>
    <w:rsid w:val="002B6E5F"/>
    <w:rsid w:val="002B7016"/>
    <w:rsid w:val="002B70DB"/>
    <w:rsid w:val="002B72B0"/>
    <w:rsid w:val="002B7AF0"/>
    <w:rsid w:val="002B7C1A"/>
    <w:rsid w:val="002B7C6D"/>
    <w:rsid w:val="002C131B"/>
    <w:rsid w:val="002C1A3F"/>
    <w:rsid w:val="002C3778"/>
    <w:rsid w:val="002C5416"/>
    <w:rsid w:val="002C5776"/>
    <w:rsid w:val="002C5BE0"/>
    <w:rsid w:val="002C6EF0"/>
    <w:rsid w:val="002C7491"/>
    <w:rsid w:val="002C77D1"/>
    <w:rsid w:val="002C7805"/>
    <w:rsid w:val="002D2DFA"/>
    <w:rsid w:val="002D3106"/>
    <w:rsid w:val="002D3B19"/>
    <w:rsid w:val="002D561D"/>
    <w:rsid w:val="002D565B"/>
    <w:rsid w:val="002D59C9"/>
    <w:rsid w:val="002E0AE4"/>
    <w:rsid w:val="002E10D9"/>
    <w:rsid w:val="002E1DCA"/>
    <w:rsid w:val="002E1E0D"/>
    <w:rsid w:val="002E2A41"/>
    <w:rsid w:val="002E2D26"/>
    <w:rsid w:val="002E3108"/>
    <w:rsid w:val="002E4AF5"/>
    <w:rsid w:val="002E4CD4"/>
    <w:rsid w:val="002E5FC3"/>
    <w:rsid w:val="002E696D"/>
    <w:rsid w:val="002E6D58"/>
    <w:rsid w:val="002E79B4"/>
    <w:rsid w:val="002F06F5"/>
    <w:rsid w:val="002F1019"/>
    <w:rsid w:val="002F1A72"/>
    <w:rsid w:val="002F1ED9"/>
    <w:rsid w:val="002F1EEE"/>
    <w:rsid w:val="002F3BF0"/>
    <w:rsid w:val="002F3E16"/>
    <w:rsid w:val="002F4638"/>
    <w:rsid w:val="002F5ADD"/>
    <w:rsid w:val="002F5FAA"/>
    <w:rsid w:val="002F69B2"/>
    <w:rsid w:val="002F6F49"/>
    <w:rsid w:val="002F70DE"/>
    <w:rsid w:val="002F79AE"/>
    <w:rsid w:val="00300432"/>
    <w:rsid w:val="003004BC"/>
    <w:rsid w:val="00303DEF"/>
    <w:rsid w:val="0030525E"/>
    <w:rsid w:val="00305817"/>
    <w:rsid w:val="003058FE"/>
    <w:rsid w:val="00305969"/>
    <w:rsid w:val="00305EF5"/>
    <w:rsid w:val="00306047"/>
    <w:rsid w:val="003060CA"/>
    <w:rsid w:val="003064B3"/>
    <w:rsid w:val="00306CF3"/>
    <w:rsid w:val="00307D20"/>
    <w:rsid w:val="003118DA"/>
    <w:rsid w:val="00311C00"/>
    <w:rsid w:val="00312C2E"/>
    <w:rsid w:val="003132B6"/>
    <w:rsid w:val="003132DB"/>
    <w:rsid w:val="0031382B"/>
    <w:rsid w:val="0031391E"/>
    <w:rsid w:val="003157EE"/>
    <w:rsid w:val="00315B3F"/>
    <w:rsid w:val="00321C41"/>
    <w:rsid w:val="00321F3F"/>
    <w:rsid w:val="0032544E"/>
    <w:rsid w:val="003267F9"/>
    <w:rsid w:val="00327069"/>
    <w:rsid w:val="00327B5A"/>
    <w:rsid w:val="003301B5"/>
    <w:rsid w:val="003306E3"/>
    <w:rsid w:val="003322AA"/>
    <w:rsid w:val="00332748"/>
    <w:rsid w:val="00334D7B"/>
    <w:rsid w:val="00335604"/>
    <w:rsid w:val="00336267"/>
    <w:rsid w:val="003376C5"/>
    <w:rsid w:val="003400E2"/>
    <w:rsid w:val="0034022C"/>
    <w:rsid w:val="00340381"/>
    <w:rsid w:val="00340DA4"/>
    <w:rsid w:val="003419A3"/>
    <w:rsid w:val="00341A89"/>
    <w:rsid w:val="003436AD"/>
    <w:rsid w:val="003444C7"/>
    <w:rsid w:val="00344790"/>
    <w:rsid w:val="00346270"/>
    <w:rsid w:val="00346FC6"/>
    <w:rsid w:val="00347485"/>
    <w:rsid w:val="00347754"/>
    <w:rsid w:val="00347F9B"/>
    <w:rsid w:val="00350D21"/>
    <w:rsid w:val="00351652"/>
    <w:rsid w:val="00351AA1"/>
    <w:rsid w:val="00352214"/>
    <w:rsid w:val="0035327D"/>
    <w:rsid w:val="00353697"/>
    <w:rsid w:val="003539F5"/>
    <w:rsid w:val="00354599"/>
    <w:rsid w:val="00354D65"/>
    <w:rsid w:val="00354F33"/>
    <w:rsid w:val="003552BE"/>
    <w:rsid w:val="00355769"/>
    <w:rsid w:val="003569E7"/>
    <w:rsid w:val="00356E39"/>
    <w:rsid w:val="003600CD"/>
    <w:rsid w:val="003607CB"/>
    <w:rsid w:val="003608B9"/>
    <w:rsid w:val="00360A15"/>
    <w:rsid w:val="00360C08"/>
    <w:rsid w:val="003617B5"/>
    <w:rsid w:val="003637E6"/>
    <w:rsid w:val="00364487"/>
    <w:rsid w:val="003647E5"/>
    <w:rsid w:val="00366121"/>
    <w:rsid w:val="003662DA"/>
    <w:rsid w:val="003662EF"/>
    <w:rsid w:val="00366CE2"/>
    <w:rsid w:val="00366DC0"/>
    <w:rsid w:val="003677E0"/>
    <w:rsid w:val="00370759"/>
    <w:rsid w:val="00371A26"/>
    <w:rsid w:val="00371C4C"/>
    <w:rsid w:val="003728E6"/>
    <w:rsid w:val="0037624B"/>
    <w:rsid w:val="00376392"/>
    <w:rsid w:val="00376AB2"/>
    <w:rsid w:val="00380C8B"/>
    <w:rsid w:val="00382249"/>
    <w:rsid w:val="003823B5"/>
    <w:rsid w:val="00382617"/>
    <w:rsid w:val="00382857"/>
    <w:rsid w:val="00383489"/>
    <w:rsid w:val="0038388A"/>
    <w:rsid w:val="00383BDC"/>
    <w:rsid w:val="00383CBA"/>
    <w:rsid w:val="0038429A"/>
    <w:rsid w:val="00384949"/>
    <w:rsid w:val="00385151"/>
    <w:rsid w:val="00386588"/>
    <w:rsid w:val="0038739A"/>
    <w:rsid w:val="0039051E"/>
    <w:rsid w:val="0039091B"/>
    <w:rsid w:val="003920DD"/>
    <w:rsid w:val="003937B5"/>
    <w:rsid w:val="00394216"/>
    <w:rsid w:val="00394364"/>
    <w:rsid w:val="003956A5"/>
    <w:rsid w:val="003967BE"/>
    <w:rsid w:val="00396931"/>
    <w:rsid w:val="00397A9C"/>
    <w:rsid w:val="003A0845"/>
    <w:rsid w:val="003A278A"/>
    <w:rsid w:val="003A315C"/>
    <w:rsid w:val="003A33DF"/>
    <w:rsid w:val="003A50B4"/>
    <w:rsid w:val="003A6DDC"/>
    <w:rsid w:val="003B021F"/>
    <w:rsid w:val="003B100B"/>
    <w:rsid w:val="003B1DAF"/>
    <w:rsid w:val="003B258A"/>
    <w:rsid w:val="003B350C"/>
    <w:rsid w:val="003B4603"/>
    <w:rsid w:val="003B4B2D"/>
    <w:rsid w:val="003B4E90"/>
    <w:rsid w:val="003B53F7"/>
    <w:rsid w:val="003B576C"/>
    <w:rsid w:val="003B65C6"/>
    <w:rsid w:val="003B719E"/>
    <w:rsid w:val="003B731D"/>
    <w:rsid w:val="003B7CAA"/>
    <w:rsid w:val="003C00E3"/>
    <w:rsid w:val="003C0690"/>
    <w:rsid w:val="003C19D7"/>
    <w:rsid w:val="003C2122"/>
    <w:rsid w:val="003C2924"/>
    <w:rsid w:val="003C3F77"/>
    <w:rsid w:val="003C4524"/>
    <w:rsid w:val="003C4537"/>
    <w:rsid w:val="003C466F"/>
    <w:rsid w:val="003C494A"/>
    <w:rsid w:val="003C50CD"/>
    <w:rsid w:val="003C5204"/>
    <w:rsid w:val="003C5840"/>
    <w:rsid w:val="003C5C13"/>
    <w:rsid w:val="003C7617"/>
    <w:rsid w:val="003C7C67"/>
    <w:rsid w:val="003D08EF"/>
    <w:rsid w:val="003D0A5A"/>
    <w:rsid w:val="003D0D8F"/>
    <w:rsid w:val="003D1090"/>
    <w:rsid w:val="003D1666"/>
    <w:rsid w:val="003D1B20"/>
    <w:rsid w:val="003D2168"/>
    <w:rsid w:val="003D2B82"/>
    <w:rsid w:val="003D2B97"/>
    <w:rsid w:val="003D36F4"/>
    <w:rsid w:val="003D514C"/>
    <w:rsid w:val="003D7D9F"/>
    <w:rsid w:val="003E176F"/>
    <w:rsid w:val="003E2BBF"/>
    <w:rsid w:val="003E5423"/>
    <w:rsid w:val="003E5C35"/>
    <w:rsid w:val="003E6FDD"/>
    <w:rsid w:val="003E7934"/>
    <w:rsid w:val="003E7CE0"/>
    <w:rsid w:val="003F17C4"/>
    <w:rsid w:val="003F1A35"/>
    <w:rsid w:val="003F1DDF"/>
    <w:rsid w:val="003F2A4D"/>
    <w:rsid w:val="003F30E2"/>
    <w:rsid w:val="003F40D4"/>
    <w:rsid w:val="003F4594"/>
    <w:rsid w:val="003F65A4"/>
    <w:rsid w:val="00400175"/>
    <w:rsid w:val="004005E7"/>
    <w:rsid w:val="00400ABA"/>
    <w:rsid w:val="00400C7E"/>
    <w:rsid w:val="00402848"/>
    <w:rsid w:val="00402A31"/>
    <w:rsid w:val="00403112"/>
    <w:rsid w:val="0040459B"/>
    <w:rsid w:val="004048F8"/>
    <w:rsid w:val="004059CF"/>
    <w:rsid w:val="00405AB5"/>
    <w:rsid w:val="00406314"/>
    <w:rsid w:val="00406457"/>
    <w:rsid w:val="00406699"/>
    <w:rsid w:val="00407612"/>
    <w:rsid w:val="0041156B"/>
    <w:rsid w:val="004116E3"/>
    <w:rsid w:val="00411EF0"/>
    <w:rsid w:val="0041298E"/>
    <w:rsid w:val="00412E90"/>
    <w:rsid w:val="00413E7D"/>
    <w:rsid w:val="00414553"/>
    <w:rsid w:val="00414D7B"/>
    <w:rsid w:val="0041526A"/>
    <w:rsid w:val="00417768"/>
    <w:rsid w:val="00420812"/>
    <w:rsid w:val="00420E18"/>
    <w:rsid w:val="004227CE"/>
    <w:rsid w:val="004234ED"/>
    <w:rsid w:val="00423921"/>
    <w:rsid w:val="00424575"/>
    <w:rsid w:val="004259AC"/>
    <w:rsid w:val="00425B13"/>
    <w:rsid w:val="004260EF"/>
    <w:rsid w:val="004267BF"/>
    <w:rsid w:val="00430685"/>
    <w:rsid w:val="00430EA3"/>
    <w:rsid w:val="00433F42"/>
    <w:rsid w:val="00434A2F"/>
    <w:rsid w:val="00436672"/>
    <w:rsid w:val="00436D2B"/>
    <w:rsid w:val="00436F67"/>
    <w:rsid w:val="00441FC0"/>
    <w:rsid w:val="0044211E"/>
    <w:rsid w:val="004461E2"/>
    <w:rsid w:val="00447018"/>
    <w:rsid w:val="00447178"/>
    <w:rsid w:val="004549B6"/>
    <w:rsid w:val="00456287"/>
    <w:rsid w:val="00456A0B"/>
    <w:rsid w:val="004573A3"/>
    <w:rsid w:val="00457412"/>
    <w:rsid w:val="00457DD3"/>
    <w:rsid w:val="004603F3"/>
    <w:rsid w:val="00460499"/>
    <w:rsid w:val="00461083"/>
    <w:rsid w:val="0046110D"/>
    <w:rsid w:val="00462455"/>
    <w:rsid w:val="00462D06"/>
    <w:rsid w:val="00463A99"/>
    <w:rsid w:val="00463D1A"/>
    <w:rsid w:val="004641D4"/>
    <w:rsid w:val="00464FA5"/>
    <w:rsid w:val="00466A45"/>
    <w:rsid w:val="00466F00"/>
    <w:rsid w:val="004708F9"/>
    <w:rsid w:val="004718F2"/>
    <w:rsid w:val="00471F0F"/>
    <w:rsid w:val="00472D4D"/>
    <w:rsid w:val="0047322F"/>
    <w:rsid w:val="004738A6"/>
    <w:rsid w:val="004743BF"/>
    <w:rsid w:val="00474E23"/>
    <w:rsid w:val="00475DA3"/>
    <w:rsid w:val="00476972"/>
    <w:rsid w:val="00477557"/>
    <w:rsid w:val="00483AF5"/>
    <w:rsid w:val="00483EBB"/>
    <w:rsid w:val="00484A52"/>
    <w:rsid w:val="00486940"/>
    <w:rsid w:val="00486AB2"/>
    <w:rsid w:val="00486C61"/>
    <w:rsid w:val="00487C3C"/>
    <w:rsid w:val="00490204"/>
    <w:rsid w:val="00490B9B"/>
    <w:rsid w:val="00492CD8"/>
    <w:rsid w:val="00495E8C"/>
    <w:rsid w:val="0049646B"/>
    <w:rsid w:val="00497577"/>
    <w:rsid w:val="00497AAC"/>
    <w:rsid w:val="004A0060"/>
    <w:rsid w:val="004A1576"/>
    <w:rsid w:val="004A2220"/>
    <w:rsid w:val="004A28EA"/>
    <w:rsid w:val="004A5394"/>
    <w:rsid w:val="004A6DA2"/>
    <w:rsid w:val="004A7572"/>
    <w:rsid w:val="004B02E4"/>
    <w:rsid w:val="004B042F"/>
    <w:rsid w:val="004B15BD"/>
    <w:rsid w:val="004B2633"/>
    <w:rsid w:val="004B2CAC"/>
    <w:rsid w:val="004B7C45"/>
    <w:rsid w:val="004C0767"/>
    <w:rsid w:val="004C0C10"/>
    <w:rsid w:val="004C16E7"/>
    <w:rsid w:val="004C1C47"/>
    <w:rsid w:val="004C22C7"/>
    <w:rsid w:val="004C23D0"/>
    <w:rsid w:val="004C2962"/>
    <w:rsid w:val="004C2DA9"/>
    <w:rsid w:val="004C3B63"/>
    <w:rsid w:val="004C5A27"/>
    <w:rsid w:val="004C6D23"/>
    <w:rsid w:val="004C7C02"/>
    <w:rsid w:val="004C7D4D"/>
    <w:rsid w:val="004C7E2A"/>
    <w:rsid w:val="004D02F9"/>
    <w:rsid w:val="004D05B1"/>
    <w:rsid w:val="004D2004"/>
    <w:rsid w:val="004D2995"/>
    <w:rsid w:val="004D2BCE"/>
    <w:rsid w:val="004D3EFA"/>
    <w:rsid w:val="004D4397"/>
    <w:rsid w:val="004D530F"/>
    <w:rsid w:val="004D539A"/>
    <w:rsid w:val="004D5D46"/>
    <w:rsid w:val="004D68A9"/>
    <w:rsid w:val="004D68B5"/>
    <w:rsid w:val="004E0410"/>
    <w:rsid w:val="004E066A"/>
    <w:rsid w:val="004E067E"/>
    <w:rsid w:val="004E100F"/>
    <w:rsid w:val="004E2091"/>
    <w:rsid w:val="004E3095"/>
    <w:rsid w:val="004E56E3"/>
    <w:rsid w:val="004E59E4"/>
    <w:rsid w:val="004E66A4"/>
    <w:rsid w:val="004E6C16"/>
    <w:rsid w:val="004E7062"/>
    <w:rsid w:val="004F08AB"/>
    <w:rsid w:val="004F0A79"/>
    <w:rsid w:val="004F0D7A"/>
    <w:rsid w:val="004F13FE"/>
    <w:rsid w:val="004F169C"/>
    <w:rsid w:val="004F1946"/>
    <w:rsid w:val="004F1FD6"/>
    <w:rsid w:val="004F5A13"/>
    <w:rsid w:val="00500FBE"/>
    <w:rsid w:val="00501378"/>
    <w:rsid w:val="00502180"/>
    <w:rsid w:val="00502214"/>
    <w:rsid w:val="00502AA0"/>
    <w:rsid w:val="0050325F"/>
    <w:rsid w:val="00503FBF"/>
    <w:rsid w:val="00504BEA"/>
    <w:rsid w:val="0050611C"/>
    <w:rsid w:val="005068A1"/>
    <w:rsid w:val="00506BD2"/>
    <w:rsid w:val="005075F5"/>
    <w:rsid w:val="005077DD"/>
    <w:rsid w:val="00510E03"/>
    <w:rsid w:val="00512C49"/>
    <w:rsid w:val="005132BF"/>
    <w:rsid w:val="00513870"/>
    <w:rsid w:val="00513DFD"/>
    <w:rsid w:val="00515512"/>
    <w:rsid w:val="005159E3"/>
    <w:rsid w:val="00515E05"/>
    <w:rsid w:val="00516D4F"/>
    <w:rsid w:val="00517E96"/>
    <w:rsid w:val="00517F3D"/>
    <w:rsid w:val="00520546"/>
    <w:rsid w:val="005205CD"/>
    <w:rsid w:val="00521E1A"/>
    <w:rsid w:val="005238F1"/>
    <w:rsid w:val="005239B5"/>
    <w:rsid w:val="00524920"/>
    <w:rsid w:val="00524D59"/>
    <w:rsid w:val="0052612C"/>
    <w:rsid w:val="00526779"/>
    <w:rsid w:val="00527013"/>
    <w:rsid w:val="00527B43"/>
    <w:rsid w:val="00527C66"/>
    <w:rsid w:val="0053025C"/>
    <w:rsid w:val="005302DF"/>
    <w:rsid w:val="005303BE"/>
    <w:rsid w:val="00530BAB"/>
    <w:rsid w:val="005311FB"/>
    <w:rsid w:val="0053157F"/>
    <w:rsid w:val="00531B6B"/>
    <w:rsid w:val="00532351"/>
    <w:rsid w:val="0053307A"/>
    <w:rsid w:val="00533111"/>
    <w:rsid w:val="00534776"/>
    <w:rsid w:val="00534B41"/>
    <w:rsid w:val="00534D02"/>
    <w:rsid w:val="0053671A"/>
    <w:rsid w:val="005371E3"/>
    <w:rsid w:val="00537535"/>
    <w:rsid w:val="005375ED"/>
    <w:rsid w:val="005406EC"/>
    <w:rsid w:val="00540B35"/>
    <w:rsid w:val="00540C0F"/>
    <w:rsid w:val="00542295"/>
    <w:rsid w:val="00542709"/>
    <w:rsid w:val="005428B3"/>
    <w:rsid w:val="00542C6D"/>
    <w:rsid w:val="00546B4E"/>
    <w:rsid w:val="00550068"/>
    <w:rsid w:val="00550330"/>
    <w:rsid w:val="0055072F"/>
    <w:rsid w:val="00552376"/>
    <w:rsid w:val="00553CE7"/>
    <w:rsid w:val="00555101"/>
    <w:rsid w:val="005565C2"/>
    <w:rsid w:val="00556B0F"/>
    <w:rsid w:val="005571F2"/>
    <w:rsid w:val="00557351"/>
    <w:rsid w:val="00557472"/>
    <w:rsid w:val="00557688"/>
    <w:rsid w:val="00557A7F"/>
    <w:rsid w:val="0056021F"/>
    <w:rsid w:val="00560A76"/>
    <w:rsid w:val="0056225E"/>
    <w:rsid w:val="00563949"/>
    <w:rsid w:val="00563DF3"/>
    <w:rsid w:val="00564316"/>
    <w:rsid w:val="00564A81"/>
    <w:rsid w:val="005654C9"/>
    <w:rsid w:val="00566B41"/>
    <w:rsid w:val="00571096"/>
    <w:rsid w:val="005716DD"/>
    <w:rsid w:val="00572507"/>
    <w:rsid w:val="00573AE1"/>
    <w:rsid w:val="00573C82"/>
    <w:rsid w:val="005745A3"/>
    <w:rsid w:val="005749E9"/>
    <w:rsid w:val="00574DCD"/>
    <w:rsid w:val="0057501E"/>
    <w:rsid w:val="00575BE5"/>
    <w:rsid w:val="0057621E"/>
    <w:rsid w:val="0057629B"/>
    <w:rsid w:val="00576651"/>
    <w:rsid w:val="00576CDC"/>
    <w:rsid w:val="00577065"/>
    <w:rsid w:val="005774B6"/>
    <w:rsid w:val="00577829"/>
    <w:rsid w:val="0058021F"/>
    <w:rsid w:val="0058027D"/>
    <w:rsid w:val="0058029B"/>
    <w:rsid w:val="00581020"/>
    <w:rsid w:val="0058146A"/>
    <w:rsid w:val="00581E20"/>
    <w:rsid w:val="00581E69"/>
    <w:rsid w:val="00582F35"/>
    <w:rsid w:val="0058448E"/>
    <w:rsid w:val="005844F6"/>
    <w:rsid w:val="0058495F"/>
    <w:rsid w:val="00586E3C"/>
    <w:rsid w:val="00587C87"/>
    <w:rsid w:val="00591831"/>
    <w:rsid w:val="00591CB3"/>
    <w:rsid w:val="00592A98"/>
    <w:rsid w:val="00595998"/>
    <w:rsid w:val="00595F2A"/>
    <w:rsid w:val="00595FCC"/>
    <w:rsid w:val="005964BE"/>
    <w:rsid w:val="00597592"/>
    <w:rsid w:val="005975CE"/>
    <w:rsid w:val="00597F33"/>
    <w:rsid w:val="005A1847"/>
    <w:rsid w:val="005A2AC2"/>
    <w:rsid w:val="005A4117"/>
    <w:rsid w:val="005A4BD2"/>
    <w:rsid w:val="005A5AC7"/>
    <w:rsid w:val="005A5E1C"/>
    <w:rsid w:val="005A7286"/>
    <w:rsid w:val="005A72F0"/>
    <w:rsid w:val="005A7E4F"/>
    <w:rsid w:val="005A7F94"/>
    <w:rsid w:val="005B0C69"/>
    <w:rsid w:val="005B35B1"/>
    <w:rsid w:val="005B4A5F"/>
    <w:rsid w:val="005B6C57"/>
    <w:rsid w:val="005B73C5"/>
    <w:rsid w:val="005B7A4C"/>
    <w:rsid w:val="005C023E"/>
    <w:rsid w:val="005C1F41"/>
    <w:rsid w:val="005C2B33"/>
    <w:rsid w:val="005C4405"/>
    <w:rsid w:val="005C45F0"/>
    <w:rsid w:val="005C5997"/>
    <w:rsid w:val="005D065C"/>
    <w:rsid w:val="005D1549"/>
    <w:rsid w:val="005D2627"/>
    <w:rsid w:val="005D2AB5"/>
    <w:rsid w:val="005D31CA"/>
    <w:rsid w:val="005D351E"/>
    <w:rsid w:val="005D3762"/>
    <w:rsid w:val="005D5B3B"/>
    <w:rsid w:val="005D6AAF"/>
    <w:rsid w:val="005D6E94"/>
    <w:rsid w:val="005D6F72"/>
    <w:rsid w:val="005D70CD"/>
    <w:rsid w:val="005D7105"/>
    <w:rsid w:val="005D7C9B"/>
    <w:rsid w:val="005D7DB1"/>
    <w:rsid w:val="005D7F4E"/>
    <w:rsid w:val="005E03D3"/>
    <w:rsid w:val="005E03E3"/>
    <w:rsid w:val="005E0B6A"/>
    <w:rsid w:val="005E1646"/>
    <w:rsid w:val="005E1964"/>
    <w:rsid w:val="005E1B3C"/>
    <w:rsid w:val="005E253F"/>
    <w:rsid w:val="005E2F5C"/>
    <w:rsid w:val="005E3A04"/>
    <w:rsid w:val="005E3B13"/>
    <w:rsid w:val="005E4EC9"/>
    <w:rsid w:val="005E4FAB"/>
    <w:rsid w:val="005E543C"/>
    <w:rsid w:val="005E57CF"/>
    <w:rsid w:val="005E5F59"/>
    <w:rsid w:val="005F057C"/>
    <w:rsid w:val="005F2047"/>
    <w:rsid w:val="005F2FF8"/>
    <w:rsid w:val="005F35C8"/>
    <w:rsid w:val="005F3A02"/>
    <w:rsid w:val="005F41C3"/>
    <w:rsid w:val="005F5287"/>
    <w:rsid w:val="005F541C"/>
    <w:rsid w:val="005F69ED"/>
    <w:rsid w:val="005F7C4B"/>
    <w:rsid w:val="005F7CD0"/>
    <w:rsid w:val="00602541"/>
    <w:rsid w:val="00604775"/>
    <w:rsid w:val="00607964"/>
    <w:rsid w:val="00610747"/>
    <w:rsid w:val="00610AD9"/>
    <w:rsid w:val="00610D2C"/>
    <w:rsid w:val="006122AC"/>
    <w:rsid w:val="006128F6"/>
    <w:rsid w:val="00612E7B"/>
    <w:rsid w:val="00613199"/>
    <w:rsid w:val="006136F5"/>
    <w:rsid w:val="00617E6D"/>
    <w:rsid w:val="006209BF"/>
    <w:rsid w:val="0062134D"/>
    <w:rsid w:val="006213A9"/>
    <w:rsid w:val="00622063"/>
    <w:rsid w:val="00622936"/>
    <w:rsid w:val="0062327F"/>
    <w:rsid w:val="00623364"/>
    <w:rsid w:val="0062365F"/>
    <w:rsid w:val="006236C2"/>
    <w:rsid w:val="00625CB7"/>
    <w:rsid w:val="006263E8"/>
    <w:rsid w:val="0062748E"/>
    <w:rsid w:val="00631EB3"/>
    <w:rsid w:val="006334C0"/>
    <w:rsid w:val="00633B95"/>
    <w:rsid w:val="00634AE3"/>
    <w:rsid w:val="00634C14"/>
    <w:rsid w:val="006352F3"/>
    <w:rsid w:val="0063568A"/>
    <w:rsid w:val="00635CA1"/>
    <w:rsid w:val="00637C63"/>
    <w:rsid w:val="00637F2C"/>
    <w:rsid w:val="00641422"/>
    <w:rsid w:val="006439D5"/>
    <w:rsid w:val="0064499D"/>
    <w:rsid w:val="00644F44"/>
    <w:rsid w:val="0064504C"/>
    <w:rsid w:val="006453AB"/>
    <w:rsid w:val="00645A2F"/>
    <w:rsid w:val="00646B31"/>
    <w:rsid w:val="00647762"/>
    <w:rsid w:val="00650286"/>
    <w:rsid w:val="00650758"/>
    <w:rsid w:val="00650A3A"/>
    <w:rsid w:val="00652275"/>
    <w:rsid w:val="00652594"/>
    <w:rsid w:val="00653499"/>
    <w:rsid w:val="0065386D"/>
    <w:rsid w:val="00653F31"/>
    <w:rsid w:val="006561DE"/>
    <w:rsid w:val="00656270"/>
    <w:rsid w:val="00657D7E"/>
    <w:rsid w:val="00660318"/>
    <w:rsid w:val="0066051F"/>
    <w:rsid w:val="00660E87"/>
    <w:rsid w:val="00662488"/>
    <w:rsid w:val="00663A97"/>
    <w:rsid w:val="00663E7D"/>
    <w:rsid w:val="006643B8"/>
    <w:rsid w:val="0066550F"/>
    <w:rsid w:val="00666864"/>
    <w:rsid w:val="00667E65"/>
    <w:rsid w:val="00667FEC"/>
    <w:rsid w:val="006704AC"/>
    <w:rsid w:val="00670B7F"/>
    <w:rsid w:val="00671217"/>
    <w:rsid w:val="0067156E"/>
    <w:rsid w:val="006722DE"/>
    <w:rsid w:val="006741F3"/>
    <w:rsid w:val="00674C3F"/>
    <w:rsid w:val="0067593C"/>
    <w:rsid w:val="00676B5F"/>
    <w:rsid w:val="00676D11"/>
    <w:rsid w:val="00676F74"/>
    <w:rsid w:val="00677B22"/>
    <w:rsid w:val="00677CFC"/>
    <w:rsid w:val="006801C5"/>
    <w:rsid w:val="00680C8F"/>
    <w:rsid w:val="00681E3A"/>
    <w:rsid w:val="006833EF"/>
    <w:rsid w:val="00683776"/>
    <w:rsid w:val="00685419"/>
    <w:rsid w:val="0068656A"/>
    <w:rsid w:val="00687AF3"/>
    <w:rsid w:val="00687BB0"/>
    <w:rsid w:val="006916C0"/>
    <w:rsid w:val="006924B4"/>
    <w:rsid w:val="00692EDE"/>
    <w:rsid w:val="00693001"/>
    <w:rsid w:val="00693F95"/>
    <w:rsid w:val="006945C3"/>
    <w:rsid w:val="006946C0"/>
    <w:rsid w:val="00697015"/>
    <w:rsid w:val="006A04C3"/>
    <w:rsid w:val="006A096A"/>
    <w:rsid w:val="006A16A5"/>
    <w:rsid w:val="006A1C7F"/>
    <w:rsid w:val="006A3C66"/>
    <w:rsid w:val="006A4D39"/>
    <w:rsid w:val="006A533D"/>
    <w:rsid w:val="006A5531"/>
    <w:rsid w:val="006A7589"/>
    <w:rsid w:val="006B0181"/>
    <w:rsid w:val="006B0D44"/>
    <w:rsid w:val="006B1A4A"/>
    <w:rsid w:val="006B2B1B"/>
    <w:rsid w:val="006B37D3"/>
    <w:rsid w:val="006B3C32"/>
    <w:rsid w:val="006B54AA"/>
    <w:rsid w:val="006B55E2"/>
    <w:rsid w:val="006B5B55"/>
    <w:rsid w:val="006B5B9D"/>
    <w:rsid w:val="006B72F5"/>
    <w:rsid w:val="006B73A9"/>
    <w:rsid w:val="006B73F8"/>
    <w:rsid w:val="006C1AFB"/>
    <w:rsid w:val="006C3785"/>
    <w:rsid w:val="006C38B1"/>
    <w:rsid w:val="006C52C0"/>
    <w:rsid w:val="006C53F6"/>
    <w:rsid w:val="006C7714"/>
    <w:rsid w:val="006C77BA"/>
    <w:rsid w:val="006C7A5C"/>
    <w:rsid w:val="006C7B61"/>
    <w:rsid w:val="006D035D"/>
    <w:rsid w:val="006D08FB"/>
    <w:rsid w:val="006D0BF4"/>
    <w:rsid w:val="006D34FF"/>
    <w:rsid w:val="006D3F74"/>
    <w:rsid w:val="006D4FBD"/>
    <w:rsid w:val="006D510D"/>
    <w:rsid w:val="006D6555"/>
    <w:rsid w:val="006D6DFF"/>
    <w:rsid w:val="006D70D7"/>
    <w:rsid w:val="006E0081"/>
    <w:rsid w:val="006E067D"/>
    <w:rsid w:val="006E22E6"/>
    <w:rsid w:val="006E37FE"/>
    <w:rsid w:val="006E3B2B"/>
    <w:rsid w:val="006E44DC"/>
    <w:rsid w:val="006E5E30"/>
    <w:rsid w:val="006E6A24"/>
    <w:rsid w:val="006E6FF8"/>
    <w:rsid w:val="006E78D2"/>
    <w:rsid w:val="006E7A5D"/>
    <w:rsid w:val="006F0683"/>
    <w:rsid w:val="006F081D"/>
    <w:rsid w:val="006F1126"/>
    <w:rsid w:val="006F116D"/>
    <w:rsid w:val="006F2301"/>
    <w:rsid w:val="006F292F"/>
    <w:rsid w:val="006F3351"/>
    <w:rsid w:val="006F4E7E"/>
    <w:rsid w:val="006F5B94"/>
    <w:rsid w:val="006F669E"/>
    <w:rsid w:val="006F76DD"/>
    <w:rsid w:val="007013DC"/>
    <w:rsid w:val="00701F58"/>
    <w:rsid w:val="007048E5"/>
    <w:rsid w:val="00705562"/>
    <w:rsid w:val="00705A90"/>
    <w:rsid w:val="00705FA6"/>
    <w:rsid w:val="00706F87"/>
    <w:rsid w:val="00707324"/>
    <w:rsid w:val="007079D2"/>
    <w:rsid w:val="007100F6"/>
    <w:rsid w:val="00710EE3"/>
    <w:rsid w:val="007113EA"/>
    <w:rsid w:val="00712C17"/>
    <w:rsid w:val="00717604"/>
    <w:rsid w:val="00717F26"/>
    <w:rsid w:val="007219A4"/>
    <w:rsid w:val="00721E54"/>
    <w:rsid w:val="00723DC2"/>
    <w:rsid w:val="007252D4"/>
    <w:rsid w:val="00731CBF"/>
    <w:rsid w:val="007344D5"/>
    <w:rsid w:val="00735750"/>
    <w:rsid w:val="007360EB"/>
    <w:rsid w:val="00737607"/>
    <w:rsid w:val="00737DCC"/>
    <w:rsid w:val="007412E9"/>
    <w:rsid w:val="007415BE"/>
    <w:rsid w:val="00741CF9"/>
    <w:rsid w:val="0074390D"/>
    <w:rsid w:val="00744A14"/>
    <w:rsid w:val="0074510C"/>
    <w:rsid w:val="00746977"/>
    <w:rsid w:val="00746F68"/>
    <w:rsid w:val="00750592"/>
    <w:rsid w:val="007508D3"/>
    <w:rsid w:val="00751314"/>
    <w:rsid w:val="00751486"/>
    <w:rsid w:val="0075314E"/>
    <w:rsid w:val="007532E3"/>
    <w:rsid w:val="00753D42"/>
    <w:rsid w:val="007542B4"/>
    <w:rsid w:val="00754465"/>
    <w:rsid w:val="00754861"/>
    <w:rsid w:val="007548EA"/>
    <w:rsid w:val="00754FD8"/>
    <w:rsid w:val="00755EF2"/>
    <w:rsid w:val="00756194"/>
    <w:rsid w:val="007573EC"/>
    <w:rsid w:val="007578D9"/>
    <w:rsid w:val="007603E9"/>
    <w:rsid w:val="00761D4C"/>
    <w:rsid w:val="007635B1"/>
    <w:rsid w:val="00764A3A"/>
    <w:rsid w:val="0076528A"/>
    <w:rsid w:val="00766043"/>
    <w:rsid w:val="007665F9"/>
    <w:rsid w:val="00766BCB"/>
    <w:rsid w:val="0076758C"/>
    <w:rsid w:val="007675CE"/>
    <w:rsid w:val="00767CC9"/>
    <w:rsid w:val="00773C7E"/>
    <w:rsid w:val="00774C4A"/>
    <w:rsid w:val="007771C4"/>
    <w:rsid w:val="007773B7"/>
    <w:rsid w:val="00777646"/>
    <w:rsid w:val="00780F99"/>
    <w:rsid w:val="0078181B"/>
    <w:rsid w:val="00784010"/>
    <w:rsid w:val="0078571E"/>
    <w:rsid w:val="0078599E"/>
    <w:rsid w:val="00786C04"/>
    <w:rsid w:val="00787758"/>
    <w:rsid w:val="00790109"/>
    <w:rsid w:val="007927CB"/>
    <w:rsid w:val="00794267"/>
    <w:rsid w:val="0079440F"/>
    <w:rsid w:val="00794CD5"/>
    <w:rsid w:val="00795530"/>
    <w:rsid w:val="007957D6"/>
    <w:rsid w:val="00795EBB"/>
    <w:rsid w:val="007968E2"/>
    <w:rsid w:val="00796968"/>
    <w:rsid w:val="00797265"/>
    <w:rsid w:val="00797C55"/>
    <w:rsid w:val="007A0CCF"/>
    <w:rsid w:val="007A1D2C"/>
    <w:rsid w:val="007A1DB9"/>
    <w:rsid w:val="007A216D"/>
    <w:rsid w:val="007A29DC"/>
    <w:rsid w:val="007A3639"/>
    <w:rsid w:val="007A37D8"/>
    <w:rsid w:val="007A4B98"/>
    <w:rsid w:val="007A5161"/>
    <w:rsid w:val="007A6179"/>
    <w:rsid w:val="007A7903"/>
    <w:rsid w:val="007A7DE3"/>
    <w:rsid w:val="007B06AA"/>
    <w:rsid w:val="007B249C"/>
    <w:rsid w:val="007B27D9"/>
    <w:rsid w:val="007B357F"/>
    <w:rsid w:val="007B39D2"/>
    <w:rsid w:val="007B3BD0"/>
    <w:rsid w:val="007B415A"/>
    <w:rsid w:val="007B5D8E"/>
    <w:rsid w:val="007B603B"/>
    <w:rsid w:val="007B62A1"/>
    <w:rsid w:val="007B65B8"/>
    <w:rsid w:val="007B7225"/>
    <w:rsid w:val="007C1362"/>
    <w:rsid w:val="007C14FA"/>
    <w:rsid w:val="007C2366"/>
    <w:rsid w:val="007C291D"/>
    <w:rsid w:val="007C2C77"/>
    <w:rsid w:val="007C3CC0"/>
    <w:rsid w:val="007C3D0F"/>
    <w:rsid w:val="007C60E3"/>
    <w:rsid w:val="007C6929"/>
    <w:rsid w:val="007C6A2E"/>
    <w:rsid w:val="007C70CA"/>
    <w:rsid w:val="007C732A"/>
    <w:rsid w:val="007C7811"/>
    <w:rsid w:val="007D05A6"/>
    <w:rsid w:val="007D1125"/>
    <w:rsid w:val="007D2854"/>
    <w:rsid w:val="007D2DA4"/>
    <w:rsid w:val="007D4E61"/>
    <w:rsid w:val="007D4FF6"/>
    <w:rsid w:val="007D5B47"/>
    <w:rsid w:val="007E050B"/>
    <w:rsid w:val="007E1B83"/>
    <w:rsid w:val="007E1C6D"/>
    <w:rsid w:val="007E3A05"/>
    <w:rsid w:val="007E4854"/>
    <w:rsid w:val="007E4F96"/>
    <w:rsid w:val="007E73C9"/>
    <w:rsid w:val="007E7B58"/>
    <w:rsid w:val="007E7D02"/>
    <w:rsid w:val="007F0210"/>
    <w:rsid w:val="007F2881"/>
    <w:rsid w:val="007F347E"/>
    <w:rsid w:val="007F3DD0"/>
    <w:rsid w:val="007F590F"/>
    <w:rsid w:val="007F5F62"/>
    <w:rsid w:val="007F601E"/>
    <w:rsid w:val="007F7072"/>
    <w:rsid w:val="007F798B"/>
    <w:rsid w:val="008002F7"/>
    <w:rsid w:val="008008CD"/>
    <w:rsid w:val="00801952"/>
    <w:rsid w:val="00801C35"/>
    <w:rsid w:val="00802101"/>
    <w:rsid w:val="0080256B"/>
    <w:rsid w:val="008034C8"/>
    <w:rsid w:val="0080369D"/>
    <w:rsid w:val="00803C10"/>
    <w:rsid w:val="00803E8F"/>
    <w:rsid w:val="0080689D"/>
    <w:rsid w:val="0080757F"/>
    <w:rsid w:val="008076F1"/>
    <w:rsid w:val="00807CA9"/>
    <w:rsid w:val="0081142F"/>
    <w:rsid w:val="00813663"/>
    <w:rsid w:val="008137B3"/>
    <w:rsid w:val="008143B2"/>
    <w:rsid w:val="00814496"/>
    <w:rsid w:val="0081487A"/>
    <w:rsid w:val="008158AD"/>
    <w:rsid w:val="00815ED2"/>
    <w:rsid w:val="0081613F"/>
    <w:rsid w:val="00817CDE"/>
    <w:rsid w:val="00823737"/>
    <w:rsid w:val="00823CC8"/>
    <w:rsid w:val="00824C72"/>
    <w:rsid w:val="00825716"/>
    <w:rsid w:val="0082590A"/>
    <w:rsid w:val="00825B32"/>
    <w:rsid w:val="0082778C"/>
    <w:rsid w:val="008277F1"/>
    <w:rsid w:val="00827D84"/>
    <w:rsid w:val="00830703"/>
    <w:rsid w:val="0083111F"/>
    <w:rsid w:val="00831D47"/>
    <w:rsid w:val="00832808"/>
    <w:rsid w:val="00832D60"/>
    <w:rsid w:val="00833B96"/>
    <w:rsid w:val="008355A2"/>
    <w:rsid w:val="0083614D"/>
    <w:rsid w:val="008362A2"/>
    <w:rsid w:val="00836B2E"/>
    <w:rsid w:val="00836BB8"/>
    <w:rsid w:val="00837FFC"/>
    <w:rsid w:val="0084075E"/>
    <w:rsid w:val="00840AC6"/>
    <w:rsid w:val="00842499"/>
    <w:rsid w:val="0084265D"/>
    <w:rsid w:val="0084335E"/>
    <w:rsid w:val="008437A4"/>
    <w:rsid w:val="00843BD0"/>
    <w:rsid w:val="00846869"/>
    <w:rsid w:val="00847923"/>
    <w:rsid w:val="00847D37"/>
    <w:rsid w:val="0085027A"/>
    <w:rsid w:val="008507C6"/>
    <w:rsid w:val="00851CC9"/>
    <w:rsid w:val="00852991"/>
    <w:rsid w:val="00853358"/>
    <w:rsid w:val="008539E6"/>
    <w:rsid w:val="00854160"/>
    <w:rsid w:val="008569E5"/>
    <w:rsid w:val="00860A6B"/>
    <w:rsid w:val="00860F73"/>
    <w:rsid w:val="00861B04"/>
    <w:rsid w:val="008620AB"/>
    <w:rsid w:val="00862634"/>
    <w:rsid w:val="008626FA"/>
    <w:rsid w:val="00862A8F"/>
    <w:rsid w:val="0086380D"/>
    <w:rsid w:val="00863EAD"/>
    <w:rsid w:val="00863F22"/>
    <w:rsid w:val="0086410E"/>
    <w:rsid w:val="008647A4"/>
    <w:rsid w:val="00866F0E"/>
    <w:rsid w:val="00867F49"/>
    <w:rsid w:val="008700E7"/>
    <w:rsid w:val="00870FBB"/>
    <w:rsid w:val="008713FB"/>
    <w:rsid w:val="00871C03"/>
    <w:rsid w:val="00872992"/>
    <w:rsid w:val="00873D36"/>
    <w:rsid w:val="008740C4"/>
    <w:rsid w:val="008744D6"/>
    <w:rsid w:val="008746A9"/>
    <w:rsid w:val="008749A7"/>
    <w:rsid w:val="00876180"/>
    <w:rsid w:val="0087695D"/>
    <w:rsid w:val="00876975"/>
    <w:rsid w:val="00876DFF"/>
    <w:rsid w:val="008770D4"/>
    <w:rsid w:val="00877786"/>
    <w:rsid w:val="00882537"/>
    <w:rsid w:val="00882580"/>
    <w:rsid w:val="00883B50"/>
    <w:rsid w:val="0088598E"/>
    <w:rsid w:val="0088791D"/>
    <w:rsid w:val="00890E89"/>
    <w:rsid w:val="00891250"/>
    <w:rsid w:val="008915C8"/>
    <w:rsid w:val="0089166D"/>
    <w:rsid w:val="00891B92"/>
    <w:rsid w:val="00891D20"/>
    <w:rsid w:val="00892892"/>
    <w:rsid w:val="0089414B"/>
    <w:rsid w:val="00895837"/>
    <w:rsid w:val="00896718"/>
    <w:rsid w:val="00896ACD"/>
    <w:rsid w:val="00896C9F"/>
    <w:rsid w:val="008A0E77"/>
    <w:rsid w:val="008A250F"/>
    <w:rsid w:val="008A252B"/>
    <w:rsid w:val="008A2D30"/>
    <w:rsid w:val="008A2D3A"/>
    <w:rsid w:val="008A2D86"/>
    <w:rsid w:val="008A4400"/>
    <w:rsid w:val="008A4FDE"/>
    <w:rsid w:val="008A5543"/>
    <w:rsid w:val="008A6241"/>
    <w:rsid w:val="008A6BF7"/>
    <w:rsid w:val="008A6D9D"/>
    <w:rsid w:val="008B0095"/>
    <w:rsid w:val="008B033E"/>
    <w:rsid w:val="008B0A06"/>
    <w:rsid w:val="008B128B"/>
    <w:rsid w:val="008B1D91"/>
    <w:rsid w:val="008B5097"/>
    <w:rsid w:val="008B531A"/>
    <w:rsid w:val="008B53CC"/>
    <w:rsid w:val="008B578D"/>
    <w:rsid w:val="008B5BE9"/>
    <w:rsid w:val="008B6178"/>
    <w:rsid w:val="008B7214"/>
    <w:rsid w:val="008C0735"/>
    <w:rsid w:val="008C2546"/>
    <w:rsid w:val="008C30B6"/>
    <w:rsid w:val="008C3A52"/>
    <w:rsid w:val="008C6EAF"/>
    <w:rsid w:val="008D0532"/>
    <w:rsid w:val="008D0F45"/>
    <w:rsid w:val="008D22AC"/>
    <w:rsid w:val="008D293C"/>
    <w:rsid w:val="008D3BBC"/>
    <w:rsid w:val="008D3C76"/>
    <w:rsid w:val="008D4AA6"/>
    <w:rsid w:val="008D4FE7"/>
    <w:rsid w:val="008D5159"/>
    <w:rsid w:val="008D61F5"/>
    <w:rsid w:val="008E0D2F"/>
    <w:rsid w:val="008E0FB0"/>
    <w:rsid w:val="008E1E1D"/>
    <w:rsid w:val="008E26F1"/>
    <w:rsid w:val="008E31B6"/>
    <w:rsid w:val="008E3C86"/>
    <w:rsid w:val="008E4FFF"/>
    <w:rsid w:val="008E5DCC"/>
    <w:rsid w:val="008E68AF"/>
    <w:rsid w:val="008F0ECD"/>
    <w:rsid w:val="008F2BBB"/>
    <w:rsid w:val="008F2F5A"/>
    <w:rsid w:val="008F4E93"/>
    <w:rsid w:val="008F5C5F"/>
    <w:rsid w:val="008F60B0"/>
    <w:rsid w:val="008F6163"/>
    <w:rsid w:val="00900540"/>
    <w:rsid w:val="009011FD"/>
    <w:rsid w:val="00901943"/>
    <w:rsid w:val="00901D11"/>
    <w:rsid w:val="00902F0C"/>
    <w:rsid w:val="0090402E"/>
    <w:rsid w:val="00905072"/>
    <w:rsid w:val="00906A39"/>
    <w:rsid w:val="00907112"/>
    <w:rsid w:val="00907798"/>
    <w:rsid w:val="00910799"/>
    <w:rsid w:val="009107A5"/>
    <w:rsid w:val="00911FB3"/>
    <w:rsid w:val="0091449A"/>
    <w:rsid w:val="00914863"/>
    <w:rsid w:val="009175F9"/>
    <w:rsid w:val="00917EC6"/>
    <w:rsid w:val="00921401"/>
    <w:rsid w:val="00922F88"/>
    <w:rsid w:val="009236C7"/>
    <w:rsid w:val="0092399C"/>
    <w:rsid w:val="00925381"/>
    <w:rsid w:val="0092544F"/>
    <w:rsid w:val="00926EA8"/>
    <w:rsid w:val="0092708F"/>
    <w:rsid w:val="00927627"/>
    <w:rsid w:val="00927CCF"/>
    <w:rsid w:val="009308AB"/>
    <w:rsid w:val="00932312"/>
    <w:rsid w:val="009329C1"/>
    <w:rsid w:val="00932A19"/>
    <w:rsid w:val="00932C51"/>
    <w:rsid w:val="00933D71"/>
    <w:rsid w:val="0093656F"/>
    <w:rsid w:val="00937313"/>
    <w:rsid w:val="00937BB5"/>
    <w:rsid w:val="00937E1D"/>
    <w:rsid w:val="00940C23"/>
    <w:rsid w:val="00941E0D"/>
    <w:rsid w:val="00942686"/>
    <w:rsid w:val="00942CF4"/>
    <w:rsid w:val="009438E7"/>
    <w:rsid w:val="00944BDB"/>
    <w:rsid w:val="009458F1"/>
    <w:rsid w:val="00950355"/>
    <w:rsid w:val="00950410"/>
    <w:rsid w:val="009504E3"/>
    <w:rsid w:val="00951257"/>
    <w:rsid w:val="0095138F"/>
    <w:rsid w:val="00951AF7"/>
    <w:rsid w:val="00951B59"/>
    <w:rsid w:val="00951C0C"/>
    <w:rsid w:val="009526EB"/>
    <w:rsid w:val="00952B59"/>
    <w:rsid w:val="00952C6D"/>
    <w:rsid w:val="00952D6E"/>
    <w:rsid w:val="009532BD"/>
    <w:rsid w:val="00953475"/>
    <w:rsid w:val="009538B2"/>
    <w:rsid w:val="00953B95"/>
    <w:rsid w:val="00953BCE"/>
    <w:rsid w:val="0095402A"/>
    <w:rsid w:val="009543DA"/>
    <w:rsid w:val="00955B6B"/>
    <w:rsid w:val="00957464"/>
    <w:rsid w:val="00957B70"/>
    <w:rsid w:val="00960231"/>
    <w:rsid w:val="00960419"/>
    <w:rsid w:val="0096061E"/>
    <w:rsid w:val="009608CD"/>
    <w:rsid w:val="00961A24"/>
    <w:rsid w:val="00963A62"/>
    <w:rsid w:val="00964A8A"/>
    <w:rsid w:val="00965540"/>
    <w:rsid w:val="00965B9E"/>
    <w:rsid w:val="00965F10"/>
    <w:rsid w:val="0096703A"/>
    <w:rsid w:val="009714EB"/>
    <w:rsid w:val="0097193B"/>
    <w:rsid w:val="0097238D"/>
    <w:rsid w:val="00972880"/>
    <w:rsid w:val="00972EFD"/>
    <w:rsid w:val="00972F7A"/>
    <w:rsid w:val="00973699"/>
    <w:rsid w:val="00973AEF"/>
    <w:rsid w:val="00973FD7"/>
    <w:rsid w:val="00974DCD"/>
    <w:rsid w:val="009752AB"/>
    <w:rsid w:val="00976949"/>
    <w:rsid w:val="00976A1D"/>
    <w:rsid w:val="009770AB"/>
    <w:rsid w:val="009771B3"/>
    <w:rsid w:val="00977239"/>
    <w:rsid w:val="00980854"/>
    <w:rsid w:val="00980D3D"/>
    <w:rsid w:val="00981888"/>
    <w:rsid w:val="00981BCA"/>
    <w:rsid w:val="00981DC1"/>
    <w:rsid w:val="00981E75"/>
    <w:rsid w:val="00982AA9"/>
    <w:rsid w:val="009863AF"/>
    <w:rsid w:val="00986F3A"/>
    <w:rsid w:val="00987479"/>
    <w:rsid w:val="00990E33"/>
    <w:rsid w:val="00991F3C"/>
    <w:rsid w:val="00992668"/>
    <w:rsid w:val="009935FE"/>
    <w:rsid w:val="00994221"/>
    <w:rsid w:val="00994D23"/>
    <w:rsid w:val="00995623"/>
    <w:rsid w:val="00995651"/>
    <w:rsid w:val="0099653C"/>
    <w:rsid w:val="009A0BBE"/>
    <w:rsid w:val="009A1909"/>
    <w:rsid w:val="009A1C9F"/>
    <w:rsid w:val="009A25EE"/>
    <w:rsid w:val="009A368A"/>
    <w:rsid w:val="009A3A81"/>
    <w:rsid w:val="009A3B95"/>
    <w:rsid w:val="009A44B6"/>
    <w:rsid w:val="009A469C"/>
    <w:rsid w:val="009A500F"/>
    <w:rsid w:val="009A50C2"/>
    <w:rsid w:val="009A5467"/>
    <w:rsid w:val="009A6566"/>
    <w:rsid w:val="009A6EE9"/>
    <w:rsid w:val="009A7BFC"/>
    <w:rsid w:val="009A7EFC"/>
    <w:rsid w:val="009B007D"/>
    <w:rsid w:val="009B03E0"/>
    <w:rsid w:val="009B2D82"/>
    <w:rsid w:val="009B42F7"/>
    <w:rsid w:val="009B4EF5"/>
    <w:rsid w:val="009B4F81"/>
    <w:rsid w:val="009B526A"/>
    <w:rsid w:val="009B5627"/>
    <w:rsid w:val="009B5D63"/>
    <w:rsid w:val="009B61B4"/>
    <w:rsid w:val="009B72EC"/>
    <w:rsid w:val="009B753A"/>
    <w:rsid w:val="009B768B"/>
    <w:rsid w:val="009C0DA1"/>
    <w:rsid w:val="009C0EEB"/>
    <w:rsid w:val="009C1538"/>
    <w:rsid w:val="009C5398"/>
    <w:rsid w:val="009C576C"/>
    <w:rsid w:val="009C59E5"/>
    <w:rsid w:val="009C5A75"/>
    <w:rsid w:val="009C5EF1"/>
    <w:rsid w:val="009C654C"/>
    <w:rsid w:val="009C6C79"/>
    <w:rsid w:val="009D0539"/>
    <w:rsid w:val="009D1DC9"/>
    <w:rsid w:val="009D235C"/>
    <w:rsid w:val="009D279D"/>
    <w:rsid w:val="009D2E02"/>
    <w:rsid w:val="009D330F"/>
    <w:rsid w:val="009D37B9"/>
    <w:rsid w:val="009D4770"/>
    <w:rsid w:val="009D54C9"/>
    <w:rsid w:val="009D634B"/>
    <w:rsid w:val="009D68C0"/>
    <w:rsid w:val="009D690C"/>
    <w:rsid w:val="009D6DC5"/>
    <w:rsid w:val="009D72F0"/>
    <w:rsid w:val="009E0C95"/>
    <w:rsid w:val="009E269B"/>
    <w:rsid w:val="009E2EAC"/>
    <w:rsid w:val="009E346D"/>
    <w:rsid w:val="009E3E31"/>
    <w:rsid w:val="009E5793"/>
    <w:rsid w:val="009E584D"/>
    <w:rsid w:val="009E5966"/>
    <w:rsid w:val="009E5CAE"/>
    <w:rsid w:val="009E6279"/>
    <w:rsid w:val="009E6522"/>
    <w:rsid w:val="009E70CA"/>
    <w:rsid w:val="009E72AD"/>
    <w:rsid w:val="009F0700"/>
    <w:rsid w:val="009F0B5C"/>
    <w:rsid w:val="009F27D2"/>
    <w:rsid w:val="009F2997"/>
    <w:rsid w:val="009F5503"/>
    <w:rsid w:val="009F5E09"/>
    <w:rsid w:val="009F782A"/>
    <w:rsid w:val="009F79B7"/>
    <w:rsid w:val="00A02268"/>
    <w:rsid w:val="00A0264E"/>
    <w:rsid w:val="00A02BB3"/>
    <w:rsid w:val="00A03890"/>
    <w:rsid w:val="00A04A54"/>
    <w:rsid w:val="00A06DFF"/>
    <w:rsid w:val="00A0749E"/>
    <w:rsid w:val="00A07642"/>
    <w:rsid w:val="00A0771F"/>
    <w:rsid w:val="00A07C53"/>
    <w:rsid w:val="00A104EC"/>
    <w:rsid w:val="00A10E62"/>
    <w:rsid w:val="00A10F27"/>
    <w:rsid w:val="00A11E2A"/>
    <w:rsid w:val="00A159FD"/>
    <w:rsid w:val="00A16F8A"/>
    <w:rsid w:val="00A17569"/>
    <w:rsid w:val="00A17DB1"/>
    <w:rsid w:val="00A2045C"/>
    <w:rsid w:val="00A2183E"/>
    <w:rsid w:val="00A229E9"/>
    <w:rsid w:val="00A22B2F"/>
    <w:rsid w:val="00A23710"/>
    <w:rsid w:val="00A23780"/>
    <w:rsid w:val="00A23C78"/>
    <w:rsid w:val="00A24775"/>
    <w:rsid w:val="00A26439"/>
    <w:rsid w:val="00A26BE1"/>
    <w:rsid w:val="00A27541"/>
    <w:rsid w:val="00A27673"/>
    <w:rsid w:val="00A27864"/>
    <w:rsid w:val="00A30965"/>
    <w:rsid w:val="00A30E64"/>
    <w:rsid w:val="00A314E8"/>
    <w:rsid w:val="00A31D7C"/>
    <w:rsid w:val="00A31FAD"/>
    <w:rsid w:val="00A32979"/>
    <w:rsid w:val="00A33078"/>
    <w:rsid w:val="00A33618"/>
    <w:rsid w:val="00A337A4"/>
    <w:rsid w:val="00A3527A"/>
    <w:rsid w:val="00A354A9"/>
    <w:rsid w:val="00A35F7A"/>
    <w:rsid w:val="00A361F6"/>
    <w:rsid w:val="00A36B87"/>
    <w:rsid w:val="00A40BF5"/>
    <w:rsid w:val="00A42AAE"/>
    <w:rsid w:val="00A43E07"/>
    <w:rsid w:val="00A443C8"/>
    <w:rsid w:val="00A446E5"/>
    <w:rsid w:val="00A446FC"/>
    <w:rsid w:val="00A4476F"/>
    <w:rsid w:val="00A44AF2"/>
    <w:rsid w:val="00A44E68"/>
    <w:rsid w:val="00A4520D"/>
    <w:rsid w:val="00A4570B"/>
    <w:rsid w:val="00A466CF"/>
    <w:rsid w:val="00A47FDC"/>
    <w:rsid w:val="00A50594"/>
    <w:rsid w:val="00A51900"/>
    <w:rsid w:val="00A5300E"/>
    <w:rsid w:val="00A530BF"/>
    <w:rsid w:val="00A53645"/>
    <w:rsid w:val="00A55672"/>
    <w:rsid w:val="00A56E21"/>
    <w:rsid w:val="00A572C4"/>
    <w:rsid w:val="00A60990"/>
    <w:rsid w:val="00A613BC"/>
    <w:rsid w:val="00A62444"/>
    <w:rsid w:val="00A62641"/>
    <w:rsid w:val="00A62EE8"/>
    <w:rsid w:val="00A63D3E"/>
    <w:rsid w:val="00A647B1"/>
    <w:rsid w:val="00A6712B"/>
    <w:rsid w:val="00A67EA5"/>
    <w:rsid w:val="00A727A8"/>
    <w:rsid w:val="00A72DEF"/>
    <w:rsid w:val="00A75339"/>
    <w:rsid w:val="00A75B18"/>
    <w:rsid w:val="00A77260"/>
    <w:rsid w:val="00A8183A"/>
    <w:rsid w:val="00A82961"/>
    <w:rsid w:val="00A83722"/>
    <w:rsid w:val="00A845A2"/>
    <w:rsid w:val="00A84DD2"/>
    <w:rsid w:val="00A8568F"/>
    <w:rsid w:val="00A85696"/>
    <w:rsid w:val="00A856EE"/>
    <w:rsid w:val="00A85B3C"/>
    <w:rsid w:val="00A862D7"/>
    <w:rsid w:val="00A87D68"/>
    <w:rsid w:val="00A90012"/>
    <w:rsid w:val="00A90746"/>
    <w:rsid w:val="00A911F4"/>
    <w:rsid w:val="00A91C19"/>
    <w:rsid w:val="00A92342"/>
    <w:rsid w:val="00A92A8B"/>
    <w:rsid w:val="00A92CEA"/>
    <w:rsid w:val="00A92DF9"/>
    <w:rsid w:val="00A94387"/>
    <w:rsid w:val="00A9545C"/>
    <w:rsid w:val="00A9612B"/>
    <w:rsid w:val="00A963B5"/>
    <w:rsid w:val="00A9693F"/>
    <w:rsid w:val="00A97DCC"/>
    <w:rsid w:val="00AA07DF"/>
    <w:rsid w:val="00AA0B65"/>
    <w:rsid w:val="00AA2DD9"/>
    <w:rsid w:val="00AA40C2"/>
    <w:rsid w:val="00AA4217"/>
    <w:rsid w:val="00AA6682"/>
    <w:rsid w:val="00AA75E4"/>
    <w:rsid w:val="00AB0BF0"/>
    <w:rsid w:val="00AB12DD"/>
    <w:rsid w:val="00AB1ABD"/>
    <w:rsid w:val="00AB1F48"/>
    <w:rsid w:val="00AB292A"/>
    <w:rsid w:val="00AB2F0E"/>
    <w:rsid w:val="00AB30B8"/>
    <w:rsid w:val="00AB33A6"/>
    <w:rsid w:val="00AB3493"/>
    <w:rsid w:val="00AB3700"/>
    <w:rsid w:val="00AB381D"/>
    <w:rsid w:val="00AB3F40"/>
    <w:rsid w:val="00AB4BEA"/>
    <w:rsid w:val="00AB4C58"/>
    <w:rsid w:val="00AB4D10"/>
    <w:rsid w:val="00AB5CDC"/>
    <w:rsid w:val="00AB6187"/>
    <w:rsid w:val="00AC01C4"/>
    <w:rsid w:val="00AC11D1"/>
    <w:rsid w:val="00AC2670"/>
    <w:rsid w:val="00AC5B39"/>
    <w:rsid w:val="00AC7481"/>
    <w:rsid w:val="00AC7B0F"/>
    <w:rsid w:val="00AC7FF7"/>
    <w:rsid w:val="00AD001F"/>
    <w:rsid w:val="00AD0169"/>
    <w:rsid w:val="00AD0179"/>
    <w:rsid w:val="00AD16F5"/>
    <w:rsid w:val="00AD1FD8"/>
    <w:rsid w:val="00AD204C"/>
    <w:rsid w:val="00AD2B38"/>
    <w:rsid w:val="00AD2E57"/>
    <w:rsid w:val="00AD4411"/>
    <w:rsid w:val="00AD4481"/>
    <w:rsid w:val="00AD4D5C"/>
    <w:rsid w:val="00AD509A"/>
    <w:rsid w:val="00AD5183"/>
    <w:rsid w:val="00AD576B"/>
    <w:rsid w:val="00AD630D"/>
    <w:rsid w:val="00AD6503"/>
    <w:rsid w:val="00AD7F38"/>
    <w:rsid w:val="00AE0C14"/>
    <w:rsid w:val="00AE1499"/>
    <w:rsid w:val="00AE1597"/>
    <w:rsid w:val="00AE1663"/>
    <w:rsid w:val="00AE2674"/>
    <w:rsid w:val="00AE47D4"/>
    <w:rsid w:val="00AE5F28"/>
    <w:rsid w:val="00AE5FE4"/>
    <w:rsid w:val="00AE761D"/>
    <w:rsid w:val="00AE7A9B"/>
    <w:rsid w:val="00AE7B3C"/>
    <w:rsid w:val="00AF0790"/>
    <w:rsid w:val="00AF1B87"/>
    <w:rsid w:val="00AF2A62"/>
    <w:rsid w:val="00AF47E4"/>
    <w:rsid w:val="00AF4D87"/>
    <w:rsid w:val="00AF5B4D"/>
    <w:rsid w:val="00AF6DE3"/>
    <w:rsid w:val="00AF7024"/>
    <w:rsid w:val="00AF7297"/>
    <w:rsid w:val="00AF7D28"/>
    <w:rsid w:val="00B0079F"/>
    <w:rsid w:val="00B00B00"/>
    <w:rsid w:val="00B00DA2"/>
    <w:rsid w:val="00B01472"/>
    <w:rsid w:val="00B017EB"/>
    <w:rsid w:val="00B02A35"/>
    <w:rsid w:val="00B04B1A"/>
    <w:rsid w:val="00B04DB7"/>
    <w:rsid w:val="00B05583"/>
    <w:rsid w:val="00B064FC"/>
    <w:rsid w:val="00B070CB"/>
    <w:rsid w:val="00B0762A"/>
    <w:rsid w:val="00B102A6"/>
    <w:rsid w:val="00B10592"/>
    <w:rsid w:val="00B1099C"/>
    <w:rsid w:val="00B10FF1"/>
    <w:rsid w:val="00B111FA"/>
    <w:rsid w:val="00B11AEA"/>
    <w:rsid w:val="00B11E3A"/>
    <w:rsid w:val="00B139B8"/>
    <w:rsid w:val="00B13BA4"/>
    <w:rsid w:val="00B13FC0"/>
    <w:rsid w:val="00B147ED"/>
    <w:rsid w:val="00B14C81"/>
    <w:rsid w:val="00B1502C"/>
    <w:rsid w:val="00B20854"/>
    <w:rsid w:val="00B2090B"/>
    <w:rsid w:val="00B226F4"/>
    <w:rsid w:val="00B23B02"/>
    <w:rsid w:val="00B240FC"/>
    <w:rsid w:val="00B24A93"/>
    <w:rsid w:val="00B24B0A"/>
    <w:rsid w:val="00B26262"/>
    <w:rsid w:val="00B26387"/>
    <w:rsid w:val="00B26645"/>
    <w:rsid w:val="00B26AE7"/>
    <w:rsid w:val="00B27040"/>
    <w:rsid w:val="00B2793D"/>
    <w:rsid w:val="00B27F10"/>
    <w:rsid w:val="00B310C2"/>
    <w:rsid w:val="00B31FF0"/>
    <w:rsid w:val="00B347F2"/>
    <w:rsid w:val="00B34F3E"/>
    <w:rsid w:val="00B35554"/>
    <w:rsid w:val="00B35E2A"/>
    <w:rsid w:val="00B37EB2"/>
    <w:rsid w:val="00B37FAB"/>
    <w:rsid w:val="00B40797"/>
    <w:rsid w:val="00B408B0"/>
    <w:rsid w:val="00B40DAB"/>
    <w:rsid w:val="00B41027"/>
    <w:rsid w:val="00B4224C"/>
    <w:rsid w:val="00B43201"/>
    <w:rsid w:val="00B438AB"/>
    <w:rsid w:val="00B44EC3"/>
    <w:rsid w:val="00B454A3"/>
    <w:rsid w:val="00B45AB5"/>
    <w:rsid w:val="00B46FE2"/>
    <w:rsid w:val="00B47237"/>
    <w:rsid w:val="00B47B4B"/>
    <w:rsid w:val="00B503CF"/>
    <w:rsid w:val="00B50D23"/>
    <w:rsid w:val="00B513C5"/>
    <w:rsid w:val="00B513EB"/>
    <w:rsid w:val="00B5142D"/>
    <w:rsid w:val="00B52616"/>
    <w:rsid w:val="00B54D31"/>
    <w:rsid w:val="00B557EB"/>
    <w:rsid w:val="00B5658B"/>
    <w:rsid w:val="00B62515"/>
    <w:rsid w:val="00B62AFB"/>
    <w:rsid w:val="00B62ED6"/>
    <w:rsid w:val="00B63BA6"/>
    <w:rsid w:val="00B6436C"/>
    <w:rsid w:val="00B64546"/>
    <w:rsid w:val="00B64834"/>
    <w:rsid w:val="00B66E4A"/>
    <w:rsid w:val="00B6707C"/>
    <w:rsid w:val="00B67AD0"/>
    <w:rsid w:val="00B70180"/>
    <w:rsid w:val="00B707A9"/>
    <w:rsid w:val="00B70FC1"/>
    <w:rsid w:val="00B7151D"/>
    <w:rsid w:val="00B721DF"/>
    <w:rsid w:val="00B7242B"/>
    <w:rsid w:val="00B72E9A"/>
    <w:rsid w:val="00B75E9A"/>
    <w:rsid w:val="00B77F82"/>
    <w:rsid w:val="00B80D03"/>
    <w:rsid w:val="00B80FEF"/>
    <w:rsid w:val="00B83651"/>
    <w:rsid w:val="00B8559B"/>
    <w:rsid w:val="00B857ED"/>
    <w:rsid w:val="00B864E5"/>
    <w:rsid w:val="00B91387"/>
    <w:rsid w:val="00B92138"/>
    <w:rsid w:val="00B92240"/>
    <w:rsid w:val="00B92338"/>
    <w:rsid w:val="00B94D05"/>
    <w:rsid w:val="00B950B2"/>
    <w:rsid w:val="00B9717A"/>
    <w:rsid w:val="00B973CC"/>
    <w:rsid w:val="00B9791A"/>
    <w:rsid w:val="00BA1476"/>
    <w:rsid w:val="00BA162A"/>
    <w:rsid w:val="00BA20A9"/>
    <w:rsid w:val="00BA26BD"/>
    <w:rsid w:val="00BA44A2"/>
    <w:rsid w:val="00BA4789"/>
    <w:rsid w:val="00BA6228"/>
    <w:rsid w:val="00BA6599"/>
    <w:rsid w:val="00BA71CB"/>
    <w:rsid w:val="00BA73A6"/>
    <w:rsid w:val="00BB0384"/>
    <w:rsid w:val="00BB089E"/>
    <w:rsid w:val="00BB0A63"/>
    <w:rsid w:val="00BB1333"/>
    <w:rsid w:val="00BB1B29"/>
    <w:rsid w:val="00BB2849"/>
    <w:rsid w:val="00BB2B64"/>
    <w:rsid w:val="00BB3460"/>
    <w:rsid w:val="00BB3BD5"/>
    <w:rsid w:val="00BB5F3C"/>
    <w:rsid w:val="00BB6076"/>
    <w:rsid w:val="00BB6B30"/>
    <w:rsid w:val="00BB7B83"/>
    <w:rsid w:val="00BB7D01"/>
    <w:rsid w:val="00BC13F8"/>
    <w:rsid w:val="00BC2961"/>
    <w:rsid w:val="00BC296A"/>
    <w:rsid w:val="00BC2976"/>
    <w:rsid w:val="00BC2E28"/>
    <w:rsid w:val="00BC3BEA"/>
    <w:rsid w:val="00BC51DD"/>
    <w:rsid w:val="00BC52D2"/>
    <w:rsid w:val="00BC640A"/>
    <w:rsid w:val="00BC6623"/>
    <w:rsid w:val="00BC6682"/>
    <w:rsid w:val="00BC733E"/>
    <w:rsid w:val="00BC79A7"/>
    <w:rsid w:val="00BC7DCD"/>
    <w:rsid w:val="00BD1F6F"/>
    <w:rsid w:val="00BD26EF"/>
    <w:rsid w:val="00BD2C48"/>
    <w:rsid w:val="00BD3D06"/>
    <w:rsid w:val="00BD40CF"/>
    <w:rsid w:val="00BD613B"/>
    <w:rsid w:val="00BD66EC"/>
    <w:rsid w:val="00BD69D5"/>
    <w:rsid w:val="00BD6A39"/>
    <w:rsid w:val="00BE0CC0"/>
    <w:rsid w:val="00BE2208"/>
    <w:rsid w:val="00BE248A"/>
    <w:rsid w:val="00BE44D6"/>
    <w:rsid w:val="00BE4D2A"/>
    <w:rsid w:val="00BE704D"/>
    <w:rsid w:val="00BE72D4"/>
    <w:rsid w:val="00BE73E2"/>
    <w:rsid w:val="00BE7BA8"/>
    <w:rsid w:val="00BE7D70"/>
    <w:rsid w:val="00BF02B7"/>
    <w:rsid w:val="00BF09DA"/>
    <w:rsid w:val="00BF0D20"/>
    <w:rsid w:val="00BF15AE"/>
    <w:rsid w:val="00BF27D4"/>
    <w:rsid w:val="00BF2BE3"/>
    <w:rsid w:val="00BF2C87"/>
    <w:rsid w:val="00BF37BB"/>
    <w:rsid w:val="00BF484A"/>
    <w:rsid w:val="00BF51EC"/>
    <w:rsid w:val="00BF6401"/>
    <w:rsid w:val="00C00079"/>
    <w:rsid w:val="00C000B7"/>
    <w:rsid w:val="00C00DE5"/>
    <w:rsid w:val="00C02BDB"/>
    <w:rsid w:val="00C02F8F"/>
    <w:rsid w:val="00C03C0A"/>
    <w:rsid w:val="00C05E54"/>
    <w:rsid w:val="00C105FA"/>
    <w:rsid w:val="00C1126D"/>
    <w:rsid w:val="00C1313A"/>
    <w:rsid w:val="00C157DE"/>
    <w:rsid w:val="00C16C73"/>
    <w:rsid w:val="00C17147"/>
    <w:rsid w:val="00C171C0"/>
    <w:rsid w:val="00C17DB5"/>
    <w:rsid w:val="00C20541"/>
    <w:rsid w:val="00C21427"/>
    <w:rsid w:val="00C21485"/>
    <w:rsid w:val="00C21663"/>
    <w:rsid w:val="00C217FF"/>
    <w:rsid w:val="00C21FB2"/>
    <w:rsid w:val="00C2236B"/>
    <w:rsid w:val="00C22CFE"/>
    <w:rsid w:val="00C23512"/>
    <w:rsid w:val="00C25464"/>
    <w:rsid w:val="00C254FF"/>
    <w:rsid w:val="00C257FB"/>
    <w:rsid w:val="00C274B3"/>
    <w:rsid w:val="00C3015F"/>
    <w:rsid w:val="00C31E29"/>
    <w:rsid w:val="00C336B1"/>
    <w:rsid w:val="00C33978"/>
    <w:rsid w:val="00C33DC0"/>
    <w:rsid w:val="00C3781B"/>
    <w:rsid w:val="00C378E5"/>
    <w:rsid w:val="00C40314"/>
    <w:rsid w:val="00C4073D"/>
    <w:rsid w:val="00C4258B"/>
    <w:rsid w:val="00C42D70"/>
    <w:rsid w:val="00C43CC4"/>
    <w:rsid w:val="00C46269"/>
    <w:rsid w:val="00C47735"/>
    <w:rsid w:val="00C502B2"/>
    <w:rsid w:val="00C52DF5"/>
    <w:rsid w:val="00C53D45"/>
    <w:rsid w:val="00C53EEE"/>
    <w:rsid w:val="00C54377"/>
    <w:rsid w:val="00C545E5"/>
    <w:rsid w:val="00C54BF6"/>
    <w:rsid w:val="00C55301"/>
    <w:rsid w:val="00C55C42"/>
    <w:rsid w:val="00C57433"/>
    <w:rsid w:val="00C61C32"/>
    <w:rsid w:val="00C61CEE"/>
    <w:rsid w:val="00C6204E"/>
    <w:rsid w:val="00C62C55"/>
    <w:rsid w:val="00C63E68"/>
    <w:rsid w:val="00C643AD"/>
    <w:rsid w:val="00C65455"/>
    <w:rsid w:val="00C65726"/>
    <w:rsid w:val="00C6607A"/>
    <w:rsid w:val="00C66354"/>
    <w:rsid w:val="00C66BF0"/>
    <w:rsid w:val="00C66C4A"/>
    <w:rsid w:val="00C67AB9"/>
    <w:rsid w:val="00C712F9"/>
    <w:rsid w:val="00C71709"/>
    <w:rsid w:val="00C717B5"/>
    <w:rsid w:val="00C718B2"/>
    <w:rsid w:val="00C71A22"/>
    <w:rsid w:val="00C72C90"/>
    <w:rsid w:val="00C739BB"/>
    <w:rsid w:val="00C747C7"/>
    <w:rsid w:val="00C76BB2"/>
    <w:rsid w:val="00C77D54"/>
    <w:rsid w:val="00C814B9"/>
    <w:rsid w:val="00C81812"/>
    <w:rsid w:val="00C82D55"/>
    <w:rsid w:val="00C83278"/>
    <w:rsid w:val="00C83482"/>
    <w:rsid w:val="00C85145"/>
    <w:rsid w:val="00C85F09"/>
    <w:rsid w:val="00C874A7"/>
    <w:rsid w:val="00C87696"/>
    <w:rsid w:val="00C9056F"/>
    <w:rsid w:val="00C905B7"/>
    <w:rsid w:val="00C90984"/>
    <w:rsid w:val="00C924F6"/>
    <w:rsid w:val="00C92DE2"/>
    <w:rsid w:val="00C9311F"/>
    <w:rsid w:val="00C93E2E"/>
    <w:rsid w:val="00C93ECA"/>
    <w:rsid w:val="00C94911"/>
    <w:rsid w:val="00C94B0F"/>
    <w:rsid w:val="00C94DFD"/>
    <w:rsid w:val="00C94F56"/>
    <w:rsid w:val="00C95CD8"/>
    <w:rsid w:val="00C9759E"/>
    <w:rsid w:val="00C97FCA"/>
    <w:rsid w:val="00C97FDF"/>
    <w:rsid w:val="00CA008F"/>
    <w:rsid w:val="00CA181C"/>
    <w:rsid w:val="00CA1876"/>
    <w:rsid w:val="00CA1E3E"/>
    <w:rsid w:val="00CA45B0"/>
    <w:rsid w:val="00CA4A31"/>
    <w:rsid w:val="00CA4DD3"/>
    <w:rsid w:val="00CA5271"/>
    <w:rsid w:val="00CA5BE3"/>
    <w:rsid w:val="00CA5EE4"/>
    <w:rsid w:val="00CB0CF6"/>
    <w:rsid w:val="00CB1030"/>
    <w:rsid w:val="00CB1D41"/>
    <w:rsid w:val="00CB346E"/>
    <w:rsid w:val="00CB5464"/>
    <w:rsid w:val="00CB566B"/>
    <w:rsid w:val="00CB69E5"/>
    <w:rsid w:val="00CC265B"/>
    <w:rsid w:val="00CC2994"/>
    <w:rsid w:val="00CC6730"/>
    <w:rsid w:val="00CD1A1B"/>
    <w:rsid w:val="00CD1ECD"/>
    <w:rsid w:val="00CD334E"/>
    <w:rsid w:val="00CD3440"/>
    <w:rsid w:val="00CD4068"/>
    <w:rsid w:val="00CD4B99"/>
    <w:rsid w:val="00CD4EB1"/>
    <w:rsid w:val="00CD65C6"/>
    <w:rsid w:val="00CE148F"/>
    <w:rsid w:val="00CE14A4"/>
    <w:rsid w:val="00CE1ACF"/>
    <w:rsid w:val="00CE1B49"/>
    <w:rsid w:val="00CE1BA3"/>
    <w:rsid w:val="00CE1C76"/>
    <w:rsid w:val="00CE2D2A"/>
    <w:rsid w:val="00CE3199"/>
    <w:rsid w:val="00CE47CB"/>
    <w:rsid w:val="00CE4A22"/>
    <w:rsid w:val="00CE5EDD"/>
    <w:rsid w:val="00CE6303"/>
    <w:rsid w:val="00CE64B0"/>
    <w:rsid w:val="00CE695A"/>
    <w:rsid w:val="00CE7D77"/>
    <w:rsid w:val="00CF0290"/>
    <w:rsid w:val="00CF0FF8"/>
    <w:rsid w:val="00CF16FB"/>
    <w:rsid w:val="00CF1B04"/>
    <w:rsid w:val="00CF1C5C"/>
    <w:rsid w:val="00CF35FB"/>
    <w:rsid w:val="00CF478A"/>
    <w:rsid w:val="00CF5283"/>
    <w:rsid w:val="00CF5FA2"/>
    <w:rsid w:val="00CF71D2"/>
    <w:rsid w:val="00D00204"/>
    <w:rsid w:val="00D013E2"/>
    <w:rsid w:val="00D01687"/>
    <w:rsid w:val="00D01FBA"/>
    <w:rsid w:val="00D02173"/>
    <w:rsid w:val="00D02340"/>
    <w:rsid w:val="00D025F8"/>
    <w:rsid w:val="00D03459"/>
    <w:rsid w:val="00D045F4"/>
    <w:rsid w:val="00D047F4"/>
    <w:rsid w:val="00D04918"/>
    <w:rsid w:val="00D05835"/>
    <w:rsid w:val="00D062FA"/>
    <w:rsid w:val="00D072BD"/>
    <w:rsid w:val="00D1007E"/>
    <w:rsid w:val="00D1298B"/>
    <w:rsid w:val="00D129A1"/>
    <w:rsid w:val="00D1578C"/>
    <w:rsid w:val="00D16238"/>
    <w:rsid w:val="00D175E5"/>
    <w:rsid w:val="00D17FF3"/>
    <w:rsid w:val="00D202EE"/>
    <w:rsid w:val="00D2437B"/>
    <w:rsid w:val="00D24845"/>
    <w:rsid w:val="00D25F72"/>
    <w:rsid w:val="00D26378"/>
    <w:rsid w:val="00D27A59"/>
    <w:rsid w:val="00D31788"/>
    <w:rsid w:val="00D31859"/>
    <w:rsid w:val="00D33439"/>
    <w:rsid w:val="00D33AC7"/>
    <w:rsid w:val="00D33BF6"/>
    <w:rsid w:val="00D33C86"/>
    <w:rsid w:val="00D3443D"/>
    <w:rsid w:val="00D348E8"/>
    <w:rsid w:val="00D35CEF"/>
    <w:rsid w:val="00D35EEC"/>
    <w:rsid w:val="00D35FC0"/>
    <w:rsid w:val="00D360DA"/>
    <w:rsid w:val="00D37272"/>
    <w:rsid w:val="00D40AB1"/>
    <w:rsid w:val="00D42D83"/>
    <w:rsid w:val="00D4412F"/>
    <w:rsid w:val="00D4456C"/>
    <w:rsid w:val="00D4763D"/>
    <w:rsid w:val="00D477DC"/>
    <w:rsid w:val="00D47A9F"/>
    <w:rsid w:val="00D47C06"/>
    <w:rsid w:val="00D5085F"/>
    <w:rsid w:val="00D508CD"/>
    <w:rsid w:val="00D51966"/>
    <w:rsid w:val="00D533E9"/>
    <w:rsid w:val="00D5369E"/>
    <w:rsid w:val="00D5553A"/>
    <w:rsid w:val="00D55A5D"/>
    <w:rsid w:val="00D56EA6"/>
    <w:rsid w:val="00D57695"/>
    <w:rsid w:val="00D577D1"/>
    <w:rsid w:val="00D60959"/>
    <w:rsid w:val="00D61264"/>
    <w:rsid w:val="00D6219D"/>
    <w:rsid w:val="00D6282F"/>
    <w:rsid w:val="00D62BA4"/>
    <w:rsid w:val="00D630B1"/>
    <w:rsid w:val="00D63FD8"/>
    <w:rsid w:val="00D6511A"/>
    <w:rsid w:val="00D65579"/>
    <w:rsid w:val="00D65DFD"/>
    <w:rsid w:val="00D6619F"/>
    <w:rsid w:val="00D66419"/>
    <w:rsid w:val="00D667AD"/>
    <w:rsid w:val="00D66818"/>
    <w:rsid w:val="00D66A16"/>
    <w:rsid w:val="00D66AA1"/>
    <w:rsid w:val="00D707B3"/>
    <w:rsid w:val="00D707E3"/>
    <w:rsid w:val="00D70A96"/>
    <w:rsid w:val="00D70CF1"/>
    <w:rsid w:val="00D71C51"/>
    <w:rsid w:val="00D71E15"/>
    <w:rsid w:val="00D72260"/>
    <w:rsid w:val="00D7241A"/>
    <w:rsid w:val="00D72909"/>
    <w:rsid w:val="00D73929"/>
    <w:rsid w:val="00D74156"/>
    <w:rsid w:val="00D7420B"/>
    <w:rsid w:val="00D74279"/>
    <w:rsid w:val="00D74CC7"/>
    <w:rsid w:val="00D75130"/>
    <w:rsid w:val="00D83097"/>
    <w:rsid w:val="00D84407"/>
    <w:rsid w:val="00D85382"/>
    <w:rsid w:val="00D85715"/>
    <w:rsid w:val="00D86076"/>
    <w:rsid w:val="00D865C0"/>
    <w:rsid w:val="00D86C05"/>
    <w:rsid w:val="00D87439"/>
    <w:rsid w:val="00D878A1"/>
    <w:rsid w:val="00D87A0C"/>
    <w:rsid w:val="00D87ADC"/>
    <w:rsid w:val="00D905AF"/>
    <w:rsid w:val="00D90EB0"/>
    <w:rsid w:val="00D914D0"/>
    <w:rsid w:val="00D91AEF"/>
    <w:rsid w:val="00D923B6"/>
    <w:rsid w:val="00D938E6"/>
    <w:rsid w:val="00D96922"/>
    <w:rsid w:val="00DA0908"/>
    <w:rsid w:val="00DA0C92"/>
    <w:rsid w:val="00DA0C93"/>
    <w:rsid w:val="00DA1127"/>
    <w:rsid w:val="00DA2A0C"/>
    <w:rsid w:val="00DA2E6D"/>
    <w:rsid w:val="00DA3D11"/>
    <w:rsid w:val="00DA6593"/>
    <w:rsid w:val="00DA67AD"/>
    <w:rsid w:val="00DA6C89"/>
    <w:rsid w:val="00DA750C"/>
    <w:rsid w:val="00DA767E"/>
    <w:rsid w:val="00DB077D"/>
    <w:rsid w:val="00DB0CDA"/>
    <w:rsid w:val="00DB2656"/>
    <w:rsid w:val="00DB312B"/>
    <w:rsid w:val="00DB38F3"/>
    <w:rsid w:val="00DB435B"/>
    <w:rsid w:val="00DB497C"/>
    <w:rsid w:val="00DB5005"/>
    <w:rsid w:val="00DB51ED"/>
    <w:rsid w:val="00DB53D1"/>
    <w:rsid w:val="00DB5A09"/>
    <w:rsid w:val="00DB6489"/>
    <w:rsid w:val="00DB6833"/>
    <w:rsid w:val="00DB6D74"/>
    <w:rsid w:val="00DB7154"/>
    <w:rsid w:val="00DB79BE"/>
    <w:rsid w:val="00DC1088"/>
    <w:rsid w:val="00DC2FE4"/>
    <w:rsid w:val="00DC5291"/>
    <w:rsid w:val="00DC5DC5"/>
    <w:rsid w:val="00DC7789"/>
    <w:rsid w:val="00DC7C52"/>
    <w:rsid w:val="00DD06C0"/>
    <w:rsid w:val="00DD0DE9"/>
    <w:rsid w:val="00DD0E4A"/>
    <w:rsid w:val="00DD1D03"/>
    <w:rsid w:val="00DD25DF"/>
    <w:rsid w:val="00DD297B"/>
    <w:rsid w:val="00DD3E92"/>
    <w:rsid w:val="00DD414D"/>
    <w:rsid w:val="00DD7391"/>
    <w:rsid w:val="00DE0AFB"/>
    <w:rsid w:val="00DE10C5"/>
    <w:rsid w:val="00DE145B"/>
    <w:rsid w:val="00DE1E2F"/>
    <w:rsid w:val="00DE29FB"/>
    <w:rsid w:val="00DE3780"/>
    <w:rsid w:val="00DE55C3"/>
    <w:rsid w:val="00DE5C0E"/>
    <w:rsid w:val="00DE5E7A"/>
    <w:rsid w:val="00DE656C"/>
    <w:rsid w:val="00DE6A3A"/>
    <w:rsid w:val="00DE6C45"/>
    <w:rsid w:val="00DF0F2C"/>
    <w:rsid w:val="00DF1976"/>
    <w:rsid w:val="00DF2364"/>
    <w:rsid w:val="00DF56C6"/>
    <w:rsid w:val="00DF6555"/>
    <w:rsid w:val="00DF75E2"/>
    <w:rsid w:val="00E00513"/>
    <w:rsid w:val="00E0181F"/>
    <w:rsid w:val="00E02C8C"/>
    <w:rsid w:val="00E02F26"/>
    <w:rsid w:val="00E0336C"/>
    <w:rsid w:val="00E034C1"/>
    <w:rsid w:val="00E03812"/>
    <w:rsid w:val="00E03D6E"/>
    <w:rsid w:val="00E03DD1"/>
    <w:rsid w:val="00E03FEC"/>
    <w:rsid w:val="00E047DB"/>
    <w:rsid w:val="00E04951"/>
    <w:rsid w:val="00E04E1B"/>
    <w:rsid w:val="00E050F0"/>
    <w:rsid w:val="00E051D9"/>
    <w:rsid w:val="00E058BB"/>
    <w:rsid w:val="00E05F4B"/>
    <w:rsid w:val="00E062AC"/>
    <w:rsid w:val="00E06509"/>
    <w:rsid w:val="00E07648"/>
    <w:rsid w:val="00E07EC5"/>
    <w:rsid w:val="00E10083"/>
    <w:rsid w:val="00E1180E"/>
    <w:rsid w:val="00E12071"/>
    <w:rsid w:val="00E1222D"/>
    <w:rsid w:val="00E12C15"/>
    <w:rsid w:val="00E1325F"/>
    <w:rsid w:val="00E133D6"/>
    <w:rsid w:val="00E13490"/>
    <w:rsid w:val="00E13683"/>
    <w:rsid w:val="00E13706"/>
    <w:rsid w:val="00E13C68"/>
    <w:rsid w:val="00E159AC"/>
    <w:rsid w:val="00E15BB0"/>
    <w:rsid w:val="00E1695D"/>
    <w:rsid w:val="00E17BAB"/>
    <w:rsid w:val="00E17D66"/>
    <w:rsid w:val="00E17E5B"/>
    <w:rsid w:val="00E2031A"/>
    <w:rsid w:val="00E204F3"/>
    <w:rsid w:val="00E20E78"/>
    <w:rsid w:val="00E217D1"/>
    <w:rsid w:val="00E21E37"/>
    <w:rsid w:val="00E22E87"/>
    <w:rsid w:val="00E26C03"/>
    <w:rsid w:val="00E27735"/>
    <w:rsid w:val="00E31161"/>
    <w:rsid w:val="00E32A3A"/>
    <w:rsid w:val="00E33451"/>
    <w:rsid w:val="00E33981"/>
    <w:rsid w:val="00E34556"/>
    <w:rsid w:val="00E3473A"/>
    <w:rsid w:val="00E36CAB"/>
    <w:rsid w:val="00E371E2"/>
    <w:rsid w:val="00E4120B"/>
    <w:rsid w:val="00E4450A"/>
    <w:rsid w:val="00E44CA9"/>
    <w:rsid w:val="00E45909"/>
    <w:rsid w:val="00E461EA"/>
    <w:rsid w:val="00E5071E"/>
    <w:rsid w:val="00E507DD"/>
    <w:rsid w:val="00E50883"/>
    <w:rsid w:val="00E5191A"/>
    <w:rsid w:val="00E51F86"/>
    <w:rsid w:val="00E535C8"/>
    <w:rsid w:val="00E54AEB"/>
    <w:rsid w:val="00E54FAE"/>
    <w:rsid w:val="00E56B0F"/>
    <w:rsid w:val="00E56EE0"/>
    <w:rsid w:val="00E60164"/>
    <w:rsid w:val="00E6059D"/>
    <w:rsid w:val="00E60999"/>
    <w:rsid w:val="00E60D08"/>
    <w:rsid w:val="00E6203F"/>
    <w:rsid w:val="00E6234C"/>
    <w:rsid w:val="00E6638D"/>
    <w:rsid w:val="00E66DE4"/>
    <w:rsid w:val="00E66F95"/>
    <w:rsid w:val="00E673DA"/>
    <w:rsid w:val="00E67B66"/>
    <w:rsid w:val="00E71616"/>
    <w:rsid w:val="00E71B93"/>
    <w:rsid w:val="00E72754"/>
    <w:rsid w:val="00E72A5C"/>
    <w:rsid w:val="00E72BE7"/>
    <w:rsid w:val="00E730A6"/>
    <w:rsid w:val="00E73A9F"/>
    <w:rsid w:val="00E74439"/>
    <w:rsid w:val="00E74B9D"/>
    <w:rsid w:val="00E7579C"/>
    <w:rsid w:val="00E76A1E"/>
    <w:rsid w:val="00E770A2"/>
    <w:rsid w:val="00E80677"/>
    <w:rsid w:val="00E80A65"/>
    <w:rsid w:val="00E80F3B"/>
    <w:rsid w:val="00E8255A"/>
    <w:rsid w:val="00E82699"/>
    <w:rsid w:val="00E82E9C"/>
    <w:rsid w:val="00E834FE"/>
    <w:rsid w:val="00E835BD"/>
    <w:rsid w:val="00E85438"/>
    <w:rsid w:val="00E85F70"/>
    <w:rsid w:val="00E8714B"/>
    <w:rsid w:val="00E90078"/>
    <w:rsid w:val="00E9030F"/>
    <w:rsid w:val="00E90361"/>
    <w:rsid w:val="00E90C51"/>
    <w:rsid w:val="00E91C82"/>
    <w:rsid w:val="00E92305"/>
    <w:rsid w:val="00E9242C"/>
    <w:rsid w:val="00E92CF0"/>
    <w:rsid w:val="00E92F8A"/>
    <w:rsid w:val="00E9303F"/>
    <w:rsid w:val="00E93649"/>
    <w:rsid w:val="00E94633"/>
    <w:rsid w:val="00E94D39"/>
    <w:rsid w:val="00E95138"/>
    <w:rsid w:val="00E95193"/>
    <w:rsid w:val="00E960E3"/>
    <w:rsid w:val="00E96CC0"/>
    <w:rsid w:val="00EA04DF"/>
    <w:rsid w:val="00EA09CA"/>
    <w:rsid w:val="00EA2617"/>
    <w:rsid w:val="00EA30AF"/>
    <w:rsid w:val="00EA3242"/>
    <w:rsid w:val="00EA4612"/>
    <w:rsid w:val="00EA5256"/>
    <w:rsid w:val="00EA53A7"/>
    <w:rsid w:val="00EA5501"/>
    <w:rsid w:val="00EA5828"/>
    <w:rsid w:val="00EA5FED"/>
    <w:rsid w:val="00EA7814"/>
    <w:rsid w:val="00EB00F9"/>
    <w:rsid w:val="00EB0921"/>
    <w:rsid w:val="00EB103D"/>
    <w:rsid w:val="00EB17A3"/>
    <w:rsid w:val="00EB1B20"/>
    <w:rsid w:val="00EB1BB2"/>
    <w:rsid w:val="00EB1BDD"/>
    <w:rsid w:val="00EB2BC8"/>
    <w:rsid w:val="00EB33DC"/>
    <w:rsid w:val="00EB39B8"/>
    <w:rsid w:val="00EB562B"/>
    <w:rsid w:val="00EB5DD3"/>
    <w:rsid w:val="00EB5FEE"/>
    <w:rsid w:val="00EB663C"/>
    <w:rsid w:val="00EB687A"/>
    <w:rsid w:val="00EB6BDF"/>
    <w:rsid w:val="00EB7914"/>
    <w:rsid w:val="00EC14E1"/>
    <w:rsid w:val="00EC2298"/>
    <w:rsid w:val="00EC5421"/>
    <w:rsid w:val="00EC56FC"/>
    <w:rsid w:val="00EC69D5"/>
    <w:rsid w:val="00ED0365"/>
    <w:rsid w:val="00ED0CD5"/>
    <w:rsid w:val="00ED0D86"/>
    <w:rsid w:val="00ED354B"/>
    <w:rsid w:val="00ED486F"/>
    <w:rsid w:val="00ED7291"/>
    <w:rsid w:val="00ED7894"/>
    <w:rsid w:val="00ED7DBE"/>
    <w:rsid w:val="00ED7F7D"/>
    <w:rsid w:val="00EE19C8"/>
    <w:rsid w:val="00EE3310"/>
    <w:rsid w:val="00EE36BF"/>
    <w:rsid w:val="00EE37CD"/>
    <w:rsid w:val="00EE4A3C"/>
    <w:rsid w:val="00EE53F4"/>
    <w:rsid w:val="00EE5C75"/>
    <w:rsid w:val="00EE6A36"/>
    <w:rsid w:val="00EE6B5E"/>
    <w:rsid w:val="00EE6D07"/>
    <w:rsid w:val="00EE6E71"/>
    <w:rsid w:val="00EE7074"/>
    <w:rsid w:val="00EE7076"/>
    <w:rsid w:val="00EE735A"/>
    <w:rsid w:val="00EF0F5F"/>
    <w:rsid w:val="00EF17AB"/>
    <w:rsid w:val="00EF19DD"/>
    <w:rsid w:val="00EF1D79"/>
    <w:rsid w:val="00EF2005"/>
    <w:rsid w:val="00EF23D4"/>
    <w:rsid w:val="00EF26B7"/>
    <w:rsid w:val="00EF27C2"/>
    <w:rsid w:val="00EF3A3A"/>
    <w:rsid w:val="00EF3EA4"/>
    <w:rsid w:val="00EF46BD"/>
    <w:rsid w:val="00EF4985"/>
    <w:rsid w:val="00EF49C2"/>
    <w:rsid w:val="00EF5A5F"/>
    <w:rsid w:val="00EF5CEE"/>
    <w:rsid w:val="00EF6CA7"/>
    <w:rsid w:val="00EF7886"/>
    <w:rsid w:val="00EF7B18"/>
    <w:rsid w:val="00F00FA6"/>
    <w:rsid w:val="00F01527"/>
    <w:rsid w:val="00F01E82"/>
    <w:rsid w:val="00F046F3"/>
    <w:rsid w:val="00F05003"/>
    <w:rsid w:val="00F06085"/>
    <w:rsid w:val="00F073DF"/>
    <w:rsid w:val="00F10518"/>
    <w:rsid w:val="00F109EA"/>
    <w:rsid w:val="00F11E15"/>
    <w:rsid w:val="00F121B4"/>
    <w:rsid w:val="00F127B1"/>
    <w:rsid w:val="00F12E20"/>
    <w:rsid w:val="00F13789"/>
    <w:rsid w:val="00F13C38"/>
    <w:rsid w:val="00F1436C"/>
    <w:rsid w:val="00F14ECB"/>
    <w:rsid w:val="00F17F87"/>
    <w:rsid w:val="00F203A8"/>
    <w:rsid w:val="00F2145F"/>
    <w:rsid w:val="00F22FE8"/>
    <w:rsid w:val="00F2366C"/>
    <w:rsid w:val="00F244D6"/>
    <w:rsid w:val="00F24686"/>
    <w:rsid w:val="00F24AE5"/>
    <w:rsid w:val="00F24CD3"/>
    <w:rsid w:val="00F24FC3"/>
    <w:rsid w:val="00F269C7"/>
    <w:rsid w:val="00F31448"/>
    <w:rsid w:val="00F321CE"/>
    <w:rsid w:val="00F329ED"/>
    <w:rsid w:val="00F34BFE"/>
    <w:rsid w:val="00F35178"/>
    <w:rsid w:val="00F35D43"/>
    <w:rsid w:val="00F36CFA"/>
    <w:rsid w:val="00F3798B"/>
    <w:rsid w:val="00F4036E"/>
    <w:rsid w:val="00F404AD"/>
    <w:rsid w:val="00F40B05"/>
    <w:rsid w:val="00F41378"/>
    <w:rsid w:val="00F414BC"/>
    <w:rsid w:val="00F4448C"/>
    <w:rsid w:val="00F4462E"/>
    <w:rsid w:val="00F44D50"/>
    <w:rsid w:val="00F47BCA"/>
    <w:rsid w:val="00F50F16"/>
    <w:rsid w:val="00F51E2A"/>
    <w:rsid w:val="00F56D61"/>
    <w:rsid w:val="00F61516"/>
    <w:rsid w:val="00F623C3"/>
    <w:rsid w:val="00F64E85"/>
    <w:rsid w:val="00F656B2"/>
    <w:rsid w:val="00F662D0"/>
    <w:rsid w:val="00F67E6E"/>
    <w:rsid w:val="00F71810"/>
    <w:rsid w:val="00F71827"/>
    <w:rsid w:val="00F71B7B"/>
    <w:rsid w:val="00F72581"/>
    <w:rsid w:val="00F740E9"/>
    <w:rsid w:val="00F7473E"/>
    <w:rsid w:val="00F74BF8"/>
    <w:rsid w:val="00F74FD1"/>
    <w:rsid w:val="00F75075"/>
    <w:rsid w:val="00F763E7"/>
    <w:rsid w:val="00F7708F"/>
    <w:rsid w:val="00F77542"/>
    <w:rsid w:val="00F82227"/>
    <w:rsid w:val="00F82254"/>
    <w:rsid w:val="00F86844"/>
    <w:rsid w:val="00F86ACD"/>
    <w:rsid w:val="00F91A2B"/>
    <w:rsid w:val="00F93FDC"/>
    <w:rsid w:val="00F966B5"/>
    <w:rsid w:val="00F96750"/>
    <w:rsid w:val="00F967B7"/>
    <w:rsid w:val="00F96BA0"/>
    <w:rsid w:val="00F96CB7"/>
    <w:rsid w:val="00FA06D5"/>
    <w:rsid w:val="00FA0828"/>
    <w:rsid w:val="00FA133E"/>
    <w:rsid w:val="00FA1554"/>
    <w:rsid w:val="00FA2043"/>
    <w:rsid w:val="00FA25E8"/>
    <w:rsid w:val="00FA42E6"/>
    <w:rsid w:val="00FA4D6A"/>
    <w:rsid w:val="00FA584E"/>
    <w:rsid w:val="00FA68FC"/>
    <w:rsid w:val="00FB055B"/>
    <w:rsid w:val="00FB05BD"/>
    <w:rsid w:val="00FB08E0"/>
    <w:rsid w:val="00FB0D95"/>
    <w:rsid w:val="00FB194F"/>
    <w:rsid w:val="00FB276B"/>
    <w:rsid w:val="00FB2E2A"/>
    <w:rsid w:val="00FB33A8"/>
    <w:rsid w:val="00FB33F3"/>
    <w:rsid w:val="00FB3872"/>
    <w:rsid w:val="00FB4184"/>
    <w:rsid w:val="00FB52E9"/>
    <w:rsid w:val="00FB6A2B"/>
    <w:rsid w:val="00FB75D4"/>
    <w:rsid w:val="00FC0424"/>
    <w:rsid w:val="00FC1784"/>
    <w:rsid w:val="00FC2445"/>
    <w:rsid w:val="00FC3CFC"/>
    <w:rsid w:val="00FC3FF2"/>
    <w:rsid w:val="00FC51C2"/>
    <w:rsid w:val="00FC627B"/>
    <w:rsid w:val="00FC6408"/>
    <w:rsid w:val="00FC7489"/>
    <w:rsid w:val="00FC7680"/>
    <w:rsid w:val="00FC792B"/>
    <w:rsid w:val="00FC7BB7"/>
    <w:rsid w:val="00FC7C9F"/>
    <w:rsid w:val="00FD05D9"/>
    <w:rsid w:val="00FD0BA5"/>
    <w:rsid w:val="00FD1F73"/>
    <w:rsid w:val="00FD201A"/>
    <w:rsid w:val="00FD2540"/>
    <w:rsid w:val="00FD323A"/>
    <w:rsid w:val="00FD5B70"/>
    <w:rsid w:val="00FD65FE"/>
    <w:rsid w:val="00FD7B88"/>
    <w:rsid w:val="00FE03E9"/>
    <w:rsid w:val="00FE03F0"/>
    <w:rsid w:val="00FE0A0C"/>
    <w:rsid w:val="00FE1493"/>
    <w:rsid w:val="00FE17EE"/>
    <w:rsid w:val="00FE1891"/>
    <w:rsid w:val="00FE2E5C"/>
    <w:rsid w:val="00FE3162"/>
    <w:rsid w:val="00FE3F70"/>
    <w:rsid w:val="00FE499C"/>
    <w:rsid w:val="00FE4C84"/>
    <w:rsid w:val="00FE519E"/>
    <w:rsid w:val="00FE5351"/>
    <w:rsid w:val="00FE594B"/>
    <w:rsid w:val="00FE7CF1"/>
    <w:rsid w:val="00FF0A8E"/>
    <w:rsid w:val="00FF0CD9"/>
    <w:rsid w:val="00FF1357"/>
    <w:rsid w:val="00FF165E"/>
    <w:rsid w:val="00FF2160"/>
    <w:rsid w:val="00FF34A4"/>
    <w:rsid w:val="00FF39C5"/>
    <w:rsid w:val="00FF44A2"/>
    <w:rsid w:val="00FF44DB"/>
    <w:rsid w:val="00FF5195"/>
    <w:rsid w:val="00FF65F6"/>
    <w:rsid w:val="042B7B04"/>
    <w:rsid w:val="26196DC8"/>
    <w:rsid w:val="2BEF1A01"/>
    <w:rsid w:val="39984AC7"/>
    <w:rsid w:val="46830856"/>
    <w:rsid w:val="47105F74"/>
    <w:rsid w:val="53A05E99"/>
    <w:rsid w:val="59FE2559"/>
    <w:rsid w:val="5AF91813"/>
    <w:rsid w:val="5BCE4812"/>
    <w:rsid w:val="5EE95A14"/>
    <w:rsid w:val="662B3A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name="annotation reference"/>
    <w:lsdException w:qFormat="1"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60" w:lineRule="exact"/>
      <w:ind w:firstLine="200" w:firstLineChars="200"/>
      <w:jc w:val="both"/>
    </w:pPr>
    <w:rPr>
      <w:rFonts w:ascii="Arial" w:hAnsi="Arial" w:eastAsia="宋体" w:cs="Times New Roman"/>
      <w:kern w:val="2"/>
      <w:sz w:val="24"/>
      <w:szCs w:val="24"/>
      <w:lang w:val="en-US" w:eastAsia="zh-CN" w:bidi="ar-SA"/>
    </w:rPr>
  </w:style>
  <w:style w:type="paragraph" w:styleId="2">
    <w:name w:val="heading 1"/>
    <w:basedOn w:val="1"/>
    <w:next w:val="3"/>
    <w:link w:val="41"/>
    <w:qFormat/>
    <w:uiPriority w:val="0"/>
    <w:pPr>
      <w:keepNext/>
      <w:keepLines/>
      <w:widowControl/>
      <w:overflowPunct w:val="0"/>
      <w:adjustRightInd w:val="0"/>
      <w:snapToGrid w:val="0"/>
      <w:spacing w:line="240" w:lineRule="exact"/>
      <w:ind w:firstLine="0" w:firstLineChars="0"/>
      <w:jc w:val="center"/>
      <w:textAlignment w:val="center"/>
      <w:outlineLvl w:val="0"/>
    </w:pPr>
    <w:rPr>
      <w:b/>
      <w:spacing w:val="30"/>
      <w:kern w:val="0"/>
      <w:sz w:val="30"/>
    </w:rPr>
  </w:style>
  <w:style w:type="paragraph" w:styleId="3">
    <w:name w:val="heading 2"/>
    <w:basedOn w:val="1"/>
    <w:next w:val="1"/>
    <w:link w:val="40"/>
    <w:qFormat/>
    <w:uiPriority w:val="0"/>
    <w:pPr>
      <w:keepNext/>
      <w:keepLines/>
      <w:snapToGrid w:val="0"/>
      <w:spacing w:before="240" w:after="120" w:line="240" w:lineRule="auto"/>
      <w:ind w:firstLine="0" w:firstLineChars="0"/>
      <w:outlineLvl w:val="1"/>
    </w:pPr>
    <w:rPr>
      <w:rFonts w:eastAsia="黑体"/>
      <w:b/>
      <w:bCs/>
      <w:sz w:val="30"/>
      <w:szCs w:val="32"/>
    </w:rPr>
  </w:style>
  <w:style w:type="paragraph" w:styleId="4">
    <w:name w:val="heading 3"/>
    <w:basedOn w:val="1"/>
    <w:next w:val="1"/>
    <w:link w:val="42"/>
    <w:qFormat/>
    <w:uiPriority w:val="0"/>
    <w:pPr>
      <w:keepNext/>
      <w:keepLines/>
      <w:spacing w:before="100" w:line="240" w:lineRule="atLeast"/>
      <w:ind w:firstLine="0" w:firstLineChars="0"/>
      <w:outlineLvl w:val="2"/>
    </w:pPr>
    <w:rPr>
      <w:rFonts w:eastAsia="黑体"/>
      <w:b/>
      <w:bCs/>
      <w:color w:val="000000"/>
      <w:sz w:val="28"/>
      <w:szCs w:val="32"/>
    </w:rPr>
  </w:style>
  <w:style w:type="paragraph" w:styleId="5">
    <w:name w:val="heading 4"/>
    <w:basedOn w:val="1"/>
    <w:next w:val="1"/>
    <w:link w:val="43"/>
    <w:qFormat/>
    <w:uiPriority w:val="0"/>
    <w:pPr>
      <w:keepNext/>
      <w:keepLines/>
      <w:spacing w:before="100" w:line="240" w:lineRule="atLeast"/>
      <w:ind w:firstLine="0" w:firstLineChars="0"/>
      <w:outlineLvl w:val="3"/>
    </w:pPr>
    <w:rPr>
      <w:rFonts w:eastAsia="黑体"/>
      <w:b/>
      <w:bCs/>
      <w:szCs w:val="28"/>
    </w:rPr>
  </w:style>
  <w:style w:type="character" w:default="1" w:styleId="32">
    <w:name w:val="Default Paragraph Font"/>
    <w:semiHidden/>
    <w:unhideWhenUsed/>
    <w:uiPriority w:val="1"/>
  </w:style>
  <w:style w:type="table" w:default="1" w:styleId="30">
    <w:name w:val="Normal Table"/>
    <w:semiHidden/>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spacing w:line="240" w:lineRule="auto"/>
      <w:ind w:left="2520" w:leftChars="1200" w:firstLine="0" w:firstLineChars="0"/>
    </w:pPr>
    <w:rPr>
      <w:rFonts w:ascii="Calibri" w:hAnsi="Calibri"/>
      <w:sz w:val="21"/>
      <w:szCs w:val="22"/>
    </w:rPr>
  </w:style>
  <w:style w:type="paragraph" w:styleId="7">
    <w:name w:val="Normal Indent"/>
    <w:basedOn w:val="1"/>
    <w:qFormat/>
    <w:uiPriority w:val="0"/>
    <w:pPr>
      <w:ind w:firstLine="420"/>
    </w:pPr>
  </w:style>
  <w:style w:type="paragraph" w:styleId="8">
    <w:name w:val="caption"/>
    <w:basedOn w:val="1"/>
    <w:next w:val="1"/>
    <w:qFormat/>
    <w:uiPriority w:val="0"/>
    <w:rPr>
      <w:rFonts w:ascii="Cambria" w:hAnsi="Cambria" w:eastAsia="黑体"/>
      <w:sz w:val="20"/>
      <w:szCs w:val="20"/>
    </w:rPr>
  </w:style>
  <w:style w:type="paragraph" w:styleId="9">
    <w:name w:val="Document Map"/>
    <w:basedOn w:val="1"/>
    <w:link w:val="45"/>
    <w:semiHidden/>
    <w:qFormat/>
    <w:uiPriority w:val="0"/>
    <w:pPr>
      <w:shd w:val="clear" w:color="auto" w:fill="000080"/>
    </w:pPr>
  </w:style>
  <w:style w:type="paragraph" w:styleId="10">
    <w:name w:val="annotation text"/>
    <w:basedOn w:val="1"/>
    <w:link w:val="56"/>
    <w:semiHidden/>
    <w:qFormat/>
    <w:uiPriority w:val="0"/>
    <w:pPr>
      <w:spacing w:line="500" w:lineRule="exact"/>
      <w:jc w:val="left"/>
    </w:pPr>
    <w:rPr>
      <w:rFonts w:ascii="Times New Roman" w:hAnsi="Times New Roman"/>
      <w:sz w:val="28"/>
    </w:rPr>
  </w:style>
  <w:style w:type="paragraph" w:styleId="11">
    <w:name w:val="Body Text"/>
    <w:basedOn w:val="1"/>
    <w:link w:val="55"/>
    <w:qFormat/>
    <w:uiPriority w:val="0"/>
    <w:pPr>
      <w:spacing w:after="120"/>
    </w:pPr>
  </w:style>
  <w:style w:type="paragraph" w:styleId="12">
    <w:name w:val="Body Text Indent"/>
    <w:basedOn w:val="1"/>
    <w:link w:val="60"/>
    <w:qFormat/>
    <w:uiPriority w:val="0"/>
    <w:pPr>
      <w:spacing w:after="120"/>
      <w:ind w:left="420" w:leftChars="200"/>
    </w:pPr>
  </w:style>
  <w:style w:type="paragraph" w:styleId="13">
    <w:name w:val="toc 5"/>
    <w:basedOn w:val="1"/>
    <w:next w:val="1"/>
    <w:unhideWhenUsed/>
    <w:qFormat/>
    <w:uiPriority w:val="39"/>
    <w:pPr>
      <w:spacing w:line="240" w:lineRule="auto"/>
      <w:ind w:left="1680" w:leftChars="800" w:firstLine="0" w:firstLineChars="0"/>
    </w:pPr>
    <w:rPr>
      <w:rFonts w:ascii="Calibri" w:hAnsi="Calibri"/>
      <w:sz w:val="21"/>
      <w:szCs w:val="22"/>
    </w:rPr>
  </w:style>
  <w:style w:type="paragraph" w:styleId="14">
    <w:name w:val="toc 3"/>
    <w:basedOn w:val="1"/>
    <w:next w:val="1"/>
    <w:qFormat/>
    <w:uiPriority w:val="39"/>
    <w:pPr>
      <w:ind w:left="840" w:leftChars="400"/>
    </w:pPr>
  </w:style>
  <w:style w:type="paragraph" w:styleId="15">
    <w:name w:val="toc 8"/>
    <w:basedOn w:val="1"/>
    <w:next w:val="1"/>
    <w:unhideWhenUsed/>
    <w:qFormat/>
    <w:uiPriority w:val="39"/>
    <w:pPr>
      <w:spacing w:line="240" w:lineRule="auto"/>
      <w:ind w:left="2940" w:leftChars="1400" w:firstLine="0" w:firstLineChars="0"/>
    </w:pPr>
    <w:rPr>
      <w:rFonts w:ascii="Calibri" w:hAnsi="Calibri"/>
      <w:sz w:val="21"/>
      <w:szCs w:val="22"/>
    </w:rPr>
  </w:style>
  <w:style w:type="paragraph" w:styleId="16">
    <w:name w:val="Date"/>
    <w:basedOn w:val="1"/>
    <w:next w:val="1"/>
    <w:link w:val="61"/>
    <w:qFormat/>
    <w:uiPriority w:val="0"/>
    <w:pPr>
      <w:ind w:left="100" w:leftChars="2500"/>
    </w:pPr>
  </w:style>
  <w:style w:type="paragraph" w:styleId="17">
    <w:name w:val="Body Text Indent 2"/>
    <w:basedOn w:val="1"/>
    <w:link w:val="59"/>
    <w:qFormat/>
    <w:uiPriority w:val="0"/>
    <w:pPr>
      <w:spacing w:after="120" w:line="480" w:lineRule="auto"/>
      <w:ind w:left="420" w:leftChars="200"/>
    </w:pPr>
  </w:style>
  <w:style w:type="paragraph" w:styleId="18">
    <w:name w:val="Balloon Text"/>
    <w:basedOn w:val="1"/>
    <w:link w:val="58"/>
    <w:semiHidden/>
    <w:qFormat/>
    <w:uiPriority w:val="0"/>
    <w:rPr>
      <w:sz w:val="18"/>
      <w:szCs w:val="18"/>
    </w:rPr>
  </w:style>
  <w:style w:type="paragraph" w:styleId="19">
    <w:name w:val="footer"/>
    <w:basedOn w:val="1"/>
    <w:link w:val="47"/>
    <w:qFormat/>
    <w:uiPriority w:val="99"/>
    <w:pPr>
      <w:tabs>
        <w:tab w:val="center" w:pos="4153"/>
        <w:tab w:val="right" w:pos="8306"/>
      </w:tabs>
      <w:snapToGrid w:val="0"/>
      <w:spacing w:line="240" w:lineRule="atLeast"/>
      <w:jc w:val="left"/>
    </w:pPr>
    <w:rPr>
      <w:sz w:val="18"/>
      <w:szCs w:val="18"/>
    </w:rPr>
  </w:style>
  <w:style w:type="paragraph" w:styleId="20">
    <w:name w:val="header"/>
    <w:basedOn w:val="1"/>
    <w:link w:val="48"/>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21">
    <w:name w:val="toc 1"/>
    <w:basedOn w:val="1"/>
    <w:next w:val="1"/>
    <w:qFormat/>
    <w:uiPriority w:val="39"/>
    <w:pPr>
      <w:tabs>
        <w:tab w:val="right" w:leader="dot" w:pos="8296"/>
      </w:tabs>
      <w:spacing w:line="240" w:lineRule="atLeast"/>
      <w:ind w:firstLine="0" w:firstLineChars="0"/>
    </w:pPr>
    <w:rPr>
      <w:rFonts w:ascii="Times New Roman" w:hAnsi="Times New Roman"/>
      <w:sz w:val="28"/>
      <w:szCs w:val="28"/>
    </w:rPr>
  </w:style>
  <w:style w:type="paragraph" w:styleId="22">
    <w:name w:val="toc 4"/>
    <w:basedOn w:val="1"/>
    <w:next w:val="1"/>
    <w:unhideWhenUsed/>
    <w:qFormat/>
    <w:uiPriority w:val="39"/>
    <w:pPr>
      <w:spacing w:line="240" w:lineRule="auto"/>
      <w:ind w:left="1260" w:leftChars="600" w:firstLine="0" w:firstLineChars="0"/>
    </w:pPr>
    <w:rPr>
      <w:rFonts w:ascii="Calibri" w:hAnsi="Calibri"/>
      <w:sz w:val="21"/>
      <w:szCs w:val="22"/>
    </w:rPr>
  </w:style>
  <w:style w:type="paragraph" w:styleId="23">
    <w:name w:val="footnote text"/>
    <w:basedOn w:val="1"/>
    <w:link w:val="57"/>
    <w:semiHidden/>
    <w:qFormat/>
    <w:uiPriority w:val="0"/>
    <w:pPr>
      <w:widowControl/>
      <w:snapToGrid w:val="0"/>
      <w:spacing w:line="240" w:lineRule="auto"/>
      <w:ind w:firstLine="0" w:firstLineChars="0"/>
      <w:jc w:val="left"/>
    </w:pPr>
    <w:rPr>
      <w:rFonts w:ascii="Times New Roman" w:hAnsi="Times New Roman"/>
      <w:kern w:val="0"/>
      <w:sz w:val="18"/>
      <w:szCs w:val="18"/>
    </w:rPr>
  </w:style>
  <w:style w:type="paragraph" w:styleId="24">
    <w:name w:val="toc 6"/>
    <w:basedOn w:val="1"/>
    <w:next w:val="1"/>
    <w:unhideWhenUsed/>
    <w:qFormat/>
    <w:uiPriority w:val="39"/>
    <w:pPr>
      <w:spacing w:line="240" w:lineRule="auto"/>
      <w:ind w:left="2100" w:leftChars="1000" w:firstLine="0" w:firstLineChars="0"/>
    </w:pPr>
    <w:rPr>
      <w:rFonts w:ascii="Calibri" w:hAnsi="Calibri"/>
      <w:sz w:val="21"/>
      <w:szCs w:val="22"/>
    </w:rPr>
  </w:style>
  <w:style w:type="paragraph" w:styleId="25">
    <w:name w:val="Body Text Indent 3"/>
    <w:basedOn w:val="1"/>
    <w:link w:val="46"/>
    <w:qFormat/>
    <w:uiPriority w:val="0"/>
    <w:pPr>
      <w:spacing w:line="240" w:lineRule="auto"/>
      <w:ind w:firstLine="560"/>
    </w:pPr>
    <w:rPr>
      <w:rFonts w:ascii="Times New Roman" w:hAnsi="Times New Roman" w:eastAsia="仿宋_GB2312"/>
      <w:sz w:val="28"/>
    </w:rPr>
  </w:style>
  <w:style w:type="paragraph" w:styleId="26">
    <w:name w:val="toc 2"/>
    <w:basedOn w:val="1"/>
    <w:next w:val="1"/>
    <w:qFormat/>
    <w:uiPriority w:val="39"/>
    <w:pPr>
      <w:ind w:left="420" w:leftChars="200"/>
    </w:pPr>
  </w:style>
  <w:style w:type="paragraph" w:styleId="27">
    <w:name w:val="toc 9"/>
    <w:basedOn w:val="1"/>
    <w:next w:val="1"/>
    <w:unhideWhenUsed/>
    <w:qFormat/>
    <w:uiPriority w:val="39"/>
    <w:pPr>
      <w:spacing w:line="240" w:lineRule="auto"/>
      <w:ind w:left="3360" w:leftChars="1600" w:firstLine="0" w:firstLineChars="0"/>
    </w:pPr>
    <w:rPr>
      <w:rFonts w:ascii="Calibri" w:hAnsi="Calibri"/>
      <w:sz w:val="21"/>
      <w:szCs w:val="22"/>
    </w:rPr>
  </w:style>
  <w:style w:type="paragraph" w:styleId="28">
    <w:name w:val="Normal (Web)"/>
    <w:basedOn w:val="1"/>
    <w:qFormat/>
    <w:uiPriority w:val="99"/>
    <w:pPr>
      <w:widowControl/>
      <w:spacing w:before="100" w:beforeAutospacing="1" w:after="100" w:afterAutospacing="1" w:line="240" w:lineRule="auto"/>
      <w:ind w:firstLine="0" w:firstLineChars="0"/>
      <w:jc w:val="left"/>
    </w:pPr>
    <w:rPr>
      <w:rFonts w:ascii="宋体" w:hAnsi="宋体" w:cs="宋体"/>
      <w:kern w:val="0"/>
    </w:rPr>
  </w:style>
  <w:style w:type="paragraph" w:styleId="29">
    <w:name w:val="annotation subject"/>
    <w:basedOn w:val="10"/>
    <w:next w:val="10"/>
    <w:link w:val="103"/>
    <w:semiHidden/>
    <w:unhideWhenUsed/>
    <w:qFormat/>
    <w:uiPriority w:val="0"/>
    <w:pPr>
      <w:spacing w:line="460" w:lineRule="exact"/>
    </w:pPr>
    <w:rPr>
      <w:rFonts w:ascii="Arial" w:hAnsi="Arial"/>
      <w:b/>
      <w:bCs/>
      <w:sz w:val="24"/>
    </w:rPr>
  </w:style>
  <w:style w:type="table" w:styleId="31">
    <w:name w:val="Table Grid"/>
    <w:basedOn w:val="30"/>
    <w:unhideWhenUsed/>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3">
    <w:name w:val="Strong"/>
    <w:qFormat/>
    <w:uiPriority w:val="22"/>
    <w:rPr>
      <w:b/>
      <w:bCs/>
    </w:rPr>
  </w:style>
  <w:style w:type="character" w:styleId="34">
    <w:name w:val="page number"/>
    <w:basedOn w:val="32"/>
    <w:qFormat/>
    <w:uiPriority w:val="0"/>
  </w:style>
  <w:style w:type="character" w:styleId="35">
    <w:name w:val="line number"/>
    <w:basedOn w:val="32"/>
    <w:qFormat/>
    <w:uiPriority w:val="0"/>
  </w:style>
  <w:style w:type="character" w:styleId="36">
    <w:name w:val="Hyperlink"/>
    <w:qFormat/>
    <w:uiPriority w:val="99"/>
    <w:rPr>
      <w:color w:val="0000FF"/>
      <w:u w:val="single"/>
    </w:rPr>
  </w:style>
  <w:style w:type="character" w:styleId="37">
    <w:name w:val="annotation reference"/>
    <w:semiHidden/>
    <w:qFormat/>
    <w:uiPriority w:val="0"/>
    <w:rPr>
      <w:sz w:val="21"/>
      <w:szCs w:val="21"/>
    </w:rPr>
  </w:style>
  <w:style w:type="character" w:styleId="38">
    <w:name w:val="footnote reference"/>
    <w:semiHidden/>
    <w:qFormat/>
    <w:uiPriority w:val="0"/>
    <w:rPr>
      <w:vertAlign w:val="superscript"/>
    </w:rPr>
  </w:style>
  <w:style w:type="paragraph" w:customStyle="1" w:styleId="39">
    <w:name w:val="样式4"/>
    <w:basedOn w:val="1"/>
    <w:qFormat/>
    <w:uiPriority w:val="0"/>
    <w:pPr>
      <w:spacing w:before="60"/>
    </w:pPr>
    <w:rPr>
      <w:rFonts w:ascii="Times New Roman" w:hAnsi="Times New Roman"/>
    </w:rPr>
  </w:style>
  <w:style w:type="character" w:customStyle="1" w:styleId="40">
    <w:name w:val="标题 2 字符"/>
    <w:link w:val="3"/>
    <w:qFormat/>
    <w:uiPriority w:val="0"/>
    <w:rPr>
      <w:rFonts w:ascii="Arial" w:hAnsi="Arial" w:eastAsia="黑体"/>
      <w:b/>
      <w:bCs/>
      <w:kern w:val="2"/>
      <w:sz w:val="30"/>
      <w:szCs w:val="32"/>
    </w:rPr>
  </w:style>
  <w:style w:type="character" w:customStyle="1" w:styleId="41">
    <w:name w:val="标题 1 字符"/>
    <w:link w:val="2"/>
    <w:qFormat/>
    <w:uiPriority w:val="0"/>
    <w:rPr>
      <w:rFonts w:ascii="Arial" w:hAnsi="Arial"/>
      <w:b/>
      <w:spacing w:val="30"/>
      <w:sz w:val="30"/>
      <w:szCs w:val="24"/>
    </w:rPr>
  </w:style>
  <w:style w:type="character" w:customStyle="1" w:styleId="42">
    <w:name w:val="标题 3 字符"/>
    <w:link w:val="4"/>
    <w:qFormat/>
    <w:uiPriority w:val="0"/>
    <w:rPr>
      <w:rFonts w:ascii="Arial" w:hAnsi="Arial" w:eastAsia="黑体"/>
      <w:b/>
      <w:bCs/>
      <w:color w:val="000000"/>
      <w:kern w:val="2"/>
      <w:sz w:val="28"/>
      <w:szCs w:val="32"/>
      <w:lang w:val="en-US" w:eastAsia="zh-CN" w:bidi="ar-SA"/>
    </w:rPr>
  </w:style>
  <w:style w:type="character" w:customStyle="1" w:styleId="43">
    <w:name w:val="标题 4 字符"/>
    <w:link w:val="5"/>
    <w:qFormat/>
    <w:uiPriority w:val="0"/>
    <w:rPr>
      <w:rFonts w:ascii="Arial" w:hAnsi="Arial" w:eastAsia="黑体"/>
      <w:b/>
      <w:bCs/>
      <w:kern w:val="2"/>
      <w:sz w:val="24"/>
      <w:szCs w:val="28"/>
    </w:rPr>
  </w:style>
  <w:style w:type="character" w:customStyle="1" w:styleId="44">
    <w:name w:val="正文01 Char"/>
    <w:qFormat/>
    <w:locked/>
    <w:uiPriority w:val="0"/>
    <w:rPr>
      <w:rFonts w:eastAsia="宋体"/>
      <w:kern w:val="2"/>
      <w:sz w:val="24"/>
      <w:lang w:val="en-US" w:eastAsia="zh-CN" w:bidi="ar-SA"/>
    </w:rPr>
  </w:style>
  <w:style w:type="character" w:customStyle="1" w:styleId="45">
    <w:name w:val="文档结构图 字符"/>
    <w:link w:val="9"/>
    <w:semiHidden/>
    <w:qFormat/>
    <w:uiPriority w:val="0"/>
    <w:rPr>
      <w:rFonts w:ascii="Arial" w:hAnsi="Arial" w:eastAsia="宋体"/>
      <w:kern w:val="2"/>
      <w:sz w:val="24"/>
      <w:szCs w:val="24"/>
      <w:lang w:val="en-US" w:eastAsia="zh-CN" w:bidi="ar-SA"/>
    </w:rPr>
  </w:style>
  <w:style w:type="character" w:customStyle="1" w:styleId="46">
    <w:name w:val="正文文本缩进 3 字符"/>
    <w:link w:val="25"/>
    <w:qFormat/>
    <w:uiPriority w:val="0"/>
    <w:rPr>
      <w:rFonts w:eastAsia="仿宋_GB2312"/>
      <w:kern w:val="2"/>
      <w:sz w:val="28"/>
      <w:szCs w:val="24"/>
    </w:rPr>
  </w:style>
  <w:style w:type="character" w:customStyle="1" w:styleId="47">
    <w:name w:val="页脚 字符"/>
    <w:link w:val="19"/>
    <w:qFormat/>
    <w:uiPriority w:val="99"/>
    <w:rPr>
      <w:rFonts w:ascii="Arial" w:hAnsi="Arial"/>
      <w:kern w:val="2"/>
      <w:sz w:val="18"/>
      <w:szCs w:val="18"/>
    </w:rPr>
  </w:style>
  <w:style w:type="character" w:customStyle="1" w:styleId="48">
    <w:name w:val="页眉 字符"/>
    <w:link w:val="20"/>
    <w:qFormat/>
    <w:uiPriority w:val="0"/>
    <w:rPr>
      <w:rFonts w:ascii="Arial" w:hAnsi="Arial" w:eastAsia="宋体"/>
      <w:kern w:val="2"/>
      <w:sz w:val="18"/>
      <w:szCs w:val="18"/>
      <w:lang w:val="en-US" w:eastAsia="zh-CN" w:bidi="ar-SA"/>
    </w:rPr>
  </w:style>
  <w:style w:type="character" w:customStyle="1" w:styleId="49">
    <w:name w:val="表格标题 Char"/>
    <w:link w:val="50"/>
    <w:qFormat/>
    <w:uiPriority w:val="0"/>
    <w:rPr>
      <w:rFonts w:ascii="Arial" w:hAnsi="Arial" w:eastAsia="宋体"/>
      <w:kern w:val="2"/>
      <w:sz w:val="24"/>
      <w:szCs w:val="24"/>
      <w:lang w:val="en-US" w:eastAsia="zh-CN" w:bidi="ar-SA"/>
    </w:rPr>
  </w:style>
  <w:style w:type="paragraph" w:customStyle="1" w:styleId="50">
    <w:name w:val="表格标题"/>
    <w:basedOn w:val="1"/>
    <w:link w:val="49"/>
    <w:qFormat/>
    <w:uiPriority w:val="0"/>
    <w:pPr>
      <w:spacing w:before="60"/>
      <w:ind w:firstLine="480"/>
      <w:jc w:val="center"/>
    </w:pPr>
  </w:style>
  <w:style w:type="character" w:customStyle="1" w:styleId="51">
    <w:name w:val="l1"/>
    <w:basedOn w:val="32"/>
    <w:qFormat/>
    <w:uiPriority w:val="0"/>
  </w:style>
  <w:style w:type="character" w:customStyle="1" w:styleId="52">
    <w:name w:val="样式1 Char"/>
    <w:qFormat/>
    <w:uiPriority w:val="0"/>
    <w:rPr>
      <w:rFonts w:ascii="Arial" w:hAnsi="Arial" w:eastAsia="宋体"/>
      <w:kern w:val="2"/>
      <w:sz w:val="24"/>
      <w:szCs w:val="24"/>
      <w:lang w:val="en-US" w:eastAsia="zh-CN" w:bidi="ar-SA"/>
    </w:rPr>
  </w:style>
  <w:style w:type="character" w:customStyle="1" w:styleId="53">
    <w:name w:val="正文01 Char1"/>
    <w:link w:val="54"/>
    <w:qFormat/>
    <w:uiPriority w:val="0"/>
    <w:rPr>
      <w:rFonts w:ascii="Arial" w:hAnsi="Arial" w:eastAsia="宋体"/>
      <w:kern w:val="2"/>
      <w:sz w:val="24"/>
      <w:szCs w:val="24"/>
      <w:lang w:val="en-US" w:eastAsia="zh-CN" w:bidi="ar-SA"/>
    </w:rPr>
  </w:style>
  <w:style w:type="paragraph" w:customStyle="1" w:styleId="54">
    <w:name w:val="正文01"/>
    <w:basedOn w:val="1"/>
    <w:link w:val="53"/>
    <w:qFormat/>
    <w:uiPriority w:val="0"/>
    <w:pPr>
      <w:spacing w:before="60"/>
    </w:pPr>
  </w:style>
  <w:style w:type="character" w:customStyle="1" w:styleId="55">
    <w:name w:val="正文文本 字符"/>
    <w:link w:val="11"/>
    <w:qFormat/>
    <w:uiPriority w:val="0"/>
    <w:rPr>
      <w:rFonts w:ascii="Arial" w:hAnsi="Arial"/>
      <w:kern w:val="2"/>
      <w:sz w:val="24"/>
      <w:szCs w:val="24"/>
    </w:rPr>
  </w:style>
  <w:style w:type="character" w:customStyle="1" w:styleId="56">
    <w:name w:val="批注文字 字符"/>
    <w:link w:val="10"/>
    <w:semiHidden/>
    <w:qFormat/>
    <w:uiPriority w:val="0"/>
    <w:rPr>
      <w:kern w:val="2"/>
      <w:sz w:val="28"/>
      <w:szCs w:val="24"/>
    </w:rPr>
  </w:style>
  <w:style w:type="character" w:customStyle="1" w:styleId="57">
    <w:name w:val="脚注文本 字符"/>
    <w:link w:val="23"/>
    <w:semiHidden/>
    <w:qFormat/>
    <w:uiPriority w:val="0"/>
    <w:rPr>
      <w:sz w:val="18"/>
      <w:szCs w:val="18"/>
    </w:rPr>
  </w:style>
  <w:style w:type="character" w:customStyle="1" w:styleId="58">
    <w:name w:val="批注框文本 字符"/>
    <w:link w:val="18"/>
    <w:semiHidden/>
    <w:qFormat/>
    <w:uiPriority w:val="0"/>
    <w:rPr>
      <w:rFonts w:ascii="Arial" w:hAnsi="Arial"/>
      <w:kern w:val="2"/>
      <w:sz w:val="18"/>
      <w:szCs w:val="18"/>
    </w:rPr>
  </w:style>
  <w:style w:type="character" w:customStyle="1" w:styleId="59">
    <w:name w:val="正文文本缩进 2 字符"/>
    <w:link w:val="17"/>
    <w:qFormat/>
    <w:uiPriority w:val="0"/>
    <w:rPr>
      <w:rFonts w:ascii="Arial" w:hAnsi="Arial"/>
      <w:kern w:val="2"/>
      <w:sz w:val="24"/>
      <w:szCs w:val="24"/>
    </w:rPr>
  </w:style>
  <w:style w:type="character" w:customStyle="1" w:styleId="60">
    <w:name w:val="正文文本缩进 字符"/>
    <w:link w:val="12"/>
    <w:qFormat/>
    <w:uiPriority w:val="0"/>
    <w:rPr>
      <w:rFonts w:ascii="Arial" w:hAnsi="Arial"/>
      <w:kern w:val="2"/>
      <w:sz w:val="24"/>
      <w:szCs w:val="24"/>
    </w:rPr>
  </w:style>
  <w:style w:type="character" w:customStyle="1" w:styleId="61">
    <w:name w:val="日期 字符"/>
    <w:link w:val="16"/>
    <w:qFormat/>
    <w:uiPriority w:val="0"/>
    <w:rPr>
      <w:rFonts w:ascii="Arial" w:hAnsi="Arial"/>
      <w:kern w:val="2"/>
      <w:sz w:val="24"/>
      <w:szCs w:val="24"/>
    </w:rPr>
  </w:style>
  <w:style w:type="paragraph" w:customStyle="1" w:styleId="62">
    <w:name w:val="默认段落字体 Para Char Char Char Char"/>
    <w:basedOn w:val="1"/>
    <w:qFormat/>
    <w:uiPriority w:val="0"/>
    <w:pPr>
      <w:spacing w:before="40" w:line="360" w:lineRule="auto"/>
    </w:pPr>
    <w:rPr>
      <w:rFonts w:ascii="宋体" w:hAnsi="宋体" w:cs="宋体"/>
    </w:rPr>
  </w:style>
  <w:style w:type="paragraph" w:customStyle="1" w:styleId="63">
    <w:name w:val="Char Char Char Char"/>
    <w:basedOn w:val="1"/>
    <w:qFormat/>
    <w:uiPriority w:val="0"/>
    <w:pPr>
      <w:spacing w:line="360" w:lineRule="auto"/>
    </w:pPr>
    <w:rPr>
      <w:rFonts w:ascii="宋体" w:hAnsi="宋体" w:cs="宋体"/>
    </w:rPr>
  </w:style>
  <w:style w:type="paragraph" w:customStyle="1" w:styleId="64">
    <w:name w:val="样式9"/>
    <w:basedOn w:val="1"/>
    <w:qFormat/>
    <w:uiPriority w:val="0"/>
    <w:pPr>
      <w:spacing w:before="60"/>
      <w:ind w:firstLine="480"/>
    </w:pPr>
  </w:style>
  <w:style w:type="paragraph" w:customStyle="1" w:styleId="65">
    <w:name w:val="1级标题"/>
    <w:basedOn w:val="1"/>
    <w:link w:val="66"/>
    <w:qFormat/>
    <w:uiPriority w:val="0"/>
    <w:pPr>
      <w:spacing w:before="60"/>
      <w:ind w:firstLine="0" w:firstLineChars="0"/>
      <w:outlineLvl w:val="0"/>
    </w:pPr>
    <w:rPr>
      <w:rFonts w:eastAsia="黑体"/>
      <w:b/>
      <w:sz w:val="32"/>
    </w:rPr>
  </w:style>
  <w:style w:type="character" w:customStyle="1" w:styleId="66">
    <w:name w:val="1级标题 字符"/>
    <w:basedOn w:val="32"/>
    <w:link w:val="65"/>
    <w:qFormat/>
    <w:uiPriority w:val="0"/>
    <w:rPr>
      <w:rFonts w:ascii="Arial" w:hAnsi="Arial" w:eastAsia="黑体"/>
      <w:b/>
      <w:kern w:val="2"/>
      <w:sz w:val="32"/>
      <w:szCs w:val="24"/>
    </w:rPr>
  </w:style>
  <w:style w:type="paragraph" w:customStyle="1" w:styleId="67">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68">
    <w:name w:val="正文-第几条"/>
    <w:basedOn w:val="1"/>
    <w:qFormat/>
    <w:uiPriority w:val="0"/>
    <w:pPr>
      <w:tabs>
        <w:tab w:val="left" w:pos="1021"/>
      </w:tabs>
      <w:spacing w:line="360" w:lineRule="auto"/>
      <w:ind w:left="1021" w:hanging="1021" w:firstLineChars="0"/>
    </w:pPr>
    <w:rPr>
      <w:rFonts w:ascii="Times New Roman" w:hAnsi="Times New Roman"/>
    </w:rPr>
  </w:style>
  <w:style w:type="paragraph" w:customStyle="1" w:styleId="69">
    <w:name w:val="Char Char1 Char Char Char Char Char Char Char Char Char Char Char Char Char Char Char Char Char Char"/>
    <w:basedOn w:val="1"/>
    <w:qFormat/>
    <w:uiPriority w:val="0"/>
    <w:pPr>
      <w:spacing w:line="360" w:lineRule="auto"/>
    </w:pPr>
    <w:rPr>
      <w:rFonts w:ascii="宋体" w:hAnsi="宋体" w:cs="宋体"/>
    </w:rPr>
  </w:style>
  <w:style w:type="paragraph" w:customStyle="1" w:styleId="70">
    <w:name w:val="表格文字"/>
    <w:basedOn w:val="1"/>
    <w:qFormat/>
    <w:uiPriority w:val="0"/>
    <w:pPr>
      <w:spacing w:line="360" w:lineRule="exact"/>
      <w:ind w:firstLine="0" w:firstLineChars="0"/>
      <w:jc w:val="center"/>
    </w:pPr>
    <w:rPr>
      <w:rFonts w:ascii="Times New Roman" w:hAnsi="Times New Roman"/>
      <w:sz w:val="21"/>
      <w:szCs w:val="20"/>
    </w:rPr>
  </w:style>
  <w:style w:type="paragraph" w:customStyle="1" w:styleId="71">
    <w:name w:val="列表段落1"/>
    <w:basedOn w:val="1"/>
    <w:qFormat/>
    <w:uiPriority w:val="34"/>
    <w:pPr>
      <w:spacing w:line="240" w:lineRule="auto"/>
      <w:ind w:firstLine="420"/>
    </w:pPr>
    <w:rPr>
      <w:rFonts w:ascii="Calibri" w:hAnsi="Calibri"/>
      <w:sz w:val="21"/>
      <w:szCs w:val="22"/>
    </w:rPr>
  </w:style>
  <w:style w:type="paragraph" w:customStyle="1" w:styleId="72">
    <w:name w:val="Char Char Char Char Char Char Char Char Char Char"/>
    <w:basedOn w:val="1"/>
    <w:qFormat/>
    <w:uiPriority w:val="0"/>
    <w:pPr>
      <w:spacing w:line="240" w:lineRule="auto"/>
      <w:ind w:firstLine="0" w:firstLineChars="0"/>
    </w:pPr>
    <w:rPr>
      <w:rFonts w:ascii="Times New Roman" w:hAnsi="Times New Roman"/>
      <w:sz w:val="21"/>
    </w:rPr>
  </w:style>
  <w:style w:type="paragraph" w:customStyle="1" w:styleId="73">
    <w:name w:val="pt"/>
    <w:basedOn w:val="1"/>
    <w:qFormat/>
    <w:uiPriority w:val="0"/>
    <w:pPr>
      <w:widowControl/>
      <w:spacing w:before="100" w:beforeAutospacing="1" w:after="100" w:afterAutospacing="1" w:line="240" w:lineRule="auto"/>
      <w:ind w:firstLine="0" w:firstLineChars="0"/>
      <w:jc w:val="left"/>
    </w:pPr>
    <w:rPr>
      <w:rFonts w:ascii="ˎ̥" w:hAnsi="ˎ̥" w:cs="宋体"/>
      <w:color w:val="000000"/>
      <w:kern w:val="0"/>
      <w:sz w:val="18"/>
      <w:szCs w:val="18"/>
    </w:rPr>
  </w:style>
  <w:style w:type="paragraph" w:customStyle="1" w:styleId="74">
    <w:name w:val="表格正文"/>
    <w:basedOn w:val="1"/>
    <w:qFormat/>
    <w:uiPriority w:val="0"/>
    <w:pPr>
      <w:adjustRightInd w:val="0"/>
      <w:spacing w:line="240" w:lineRule="atLeast"/>
      <w:ind w:firstLine="0" w:firstLineChars="0"/>
      <w:jc w:val="center"/>
      <w:textAlignment w:val="baseline"/>
    </w:pPr>
    <w:rPr>
      <w:rFonts w:cs="Arial"/>
      <w:sz w:val="21"/>
      <w:szCs w:val="21"/>
    </w:rPr>
  </w:style>
  <w:style w:type="paragraph" w:customStyle="1" w:styleId="75">
    <w:name w:val="Char Char Char Char Char Char Char Char Char Char Char Char Char"/>
    <w:basedOn w:val="1"/>
    <w:qFormat/>
    <w:uiPriority w:val="0"/>
    <w:pPr>
      <w:tabs>
        <w:tab w:val="left" w:pos="432"/>
      </w:tabs>
      <w:spacing w:line="240" w:lineRule="auto"/>
      <w:ind w:left="432" w:hanging="432" w:firstLineChars="0"/>
    </w:pPr>
    <w:rPr>
      <w:rFonts w:ascii="Tahoma" w:hAnsi="Tahoma"/>
      <w:szCs w:val="20"/>
    </w:rPr>
  </w:style>
  <w:style w:type="paragraph" w:customStyle="1" w:styleId="76">
    <w:name w:val="1"/>
    <w:basedOn w:val="1"/>
    <w:qFormat/>
    <w:uiPriority w:val="0"/>
    <w:pPr>
      <w:spacing w:line="240" w:lineRule="auto"/>
      <w:ind w:firstLine="0" w:firstLineChars="0"/>
    </w:pPr>
    <w:rPr>
      <w:rFonts w:ascii="Tahoma" w:hAnsi="Tahoma"/>
      <w:szCs w:val="20"/>
    </w:rPr>
  </w:style>
  <w:style w:type="paragraph" w:customStyle="1" w:styleId="77">
    <w:name w:val="Char"/>
    <w:basedOn w:val="1"/>
    <w:qFormat/>
    <w:uiPriority w:val="0"/>
    <w:pPr>
      <w:spacing w:line="240" w:lineRule="auto"/>
      <w:ind w:firstLine="0" w:firstLineChars="0"/>
    </w:pPr>
    <w:rPr>
      <w:rFonts w:ascii="Tahoma" w:hAnsi="Tahoma"/>
      <w:szCs w:val="20"/>
    </w:rPr>
  </w:style>
  <w:style w:type="paragraph" w:customStyle="1" w:styleId="78">
    <w:name w:val="p0"/>
    <w:basedOn w:val="1"/>
    <w:qFormat/>
    <w:uiPriority w:val="0"/>
    <w:pPr>
      <w:widowControl/>
      <w:spacing w:line="240" w:lineRule="auto"/>
      <w:ind w:firstLine="0" w:firstLineChars="0"/>
    </w:pPr>
    <w:rPr>
      <w:rFonts w:ascii="Times New Roman" w:hAnsi="Times New Roman"/>
      <w:kern w:val="0"/>
      <w:sz w:val="21"/>
      <w:szCs w:val="21"/>
    </w:rPr>
  </w:style>
  <w:style w:type="paragraph" w:customStyle="1" w:styleId="79">
    <w:name w:val="Char Char Char Char Char"/>
    <w:basedOn w:val="1"/>
    <w:qFormat/>
    <w:uiPriority w:val="0"/>
    <w:pPr>
      <w:tabs>
        <w:tab w:val="left" w:pos="432"/>
      </w:tabs>
      <w:spacing w:line="240" w:lineRule="auto"/>
      <w:ind w:left="432" w:hanging="432" w:firstLineChars="0"/>
    </w:pPr>
    <w:rPr>
      <w:rFonts w:ascii="Tahoma" w:hAnsi="Tahoma"/>
      <w:szCs w:val="20"/>
    </w:rPr>
  </w:style>
  <w:style w:type="paragraph" w:customStyle="1" w:styleId="80">
    <w:name w:val="ly标题1"/>
    <w:basedOn w:val="2"/>
    <w:qFormat/>
    <w:uiPriority w:val="0"/>
    <w:pPr>
      <w:widowControl w:val="0"/>
      <w:overflowPunct/>
      <w:adjustRightInd/>
      <w:snapToGrid/>
      <w:spacing w:before="156" w:beforeLines="50" w:after="156" w:afterLines="50" w:line="360" w:lineRule="auto"/>
      <w:textAlignment w:val="auto"/>
    </w:pPr>
    <w:rPr>
      <w:rFonts w:ascii="Times New Roman" w:hAnsi="Times New Roman" w:eastAsia="黑体" w:cs="Arial"/>
      <w:spacing w:val="0"/>
      <w:kern w:val="44"/>
      <w:sz w:val="32"/>
      <w:szCs w:val="32"/>
    </w:rPr>
  </w:style>
  <w:style w:type="paragraph" w:customStyle="1" w:styleId="81">
    <w:name w:val="Char1"/>
    <w:basedOn w:val="1"/>
    <w:qFormat/>
    <w:uiPriority w:val="0"/>
    <w:pPr>
      <w:tabs>
        <w:tab w:val="left" w:pos="360"/>
      </w:tabs>
      <w:spacing w:line="240" w:lineRule="auto"/>
      <w:ind w:firstLine="0" w:firstLineChars="0"/>
    </w:pPr>
    <w:rPr>
      <w:rFonts w:ascii="Times New Roman" w:hAnsi="Times New Roman"/>
      <w:sz w:val="21"/>
    </w:rPr>
  </w:style>
  <w:style w:type="paragraph" w:customStyle="1" w:styleId="82">
    <w:name w:val="Char Char Char1 Char Char Char Char"/>
    <w:basedOn w:val="1"/>
    <w:qFormat/>
    <w:uiPriority w:val="0"/>
    <w:pPr>
      <w:tabs>
        <w:tab w:val="left" w:pos="794"/>
        <w:tab w:val="left" w:pos="1191"/>
        <w:tab w:val="left" w:pos="1588"/>
        <w:tab w:val="left" w:pos="1985"/>
      </w:tabs>
      <w:autoSpaceDE w:val="0"/>
      <w:autoSpaceDN w:val="0"/>
      <w:adjustRightInd w:val="0"/>
      <w:spacing w:before="136" w:line="240" w:lineRule="auto"/>
      <w:ind w:firstLine="0" w:firstLineChars="0"/>
    </w:pPr>
    <w:rPr>
      <w:rFonts w:ascii="Tahoma" w:hAnsi="Tahoma"/>
      <w:lang w:val="en-GB"/>
    </w:rPr>
  </w:style>
  <w:style w:type="paragraph" w:customStyle="1" w:styleId="83">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hint="eastAsia" w:ascii="Arial Unicode MS" w:hAnsi="Arial Unicode MS" w:eastAsia="Arial Unicode MS"/>
      <w:kern w:val="0"/>
      <w:sz w:val="28"/>
      <w:szCs w:val="20"/>
    </w:rPr>
  </w:style>
  <w:style w:type="character" w:customStyle="1" w:styleId="84">
    <w:name w:val="页眉 Char"/>
    <w:qFormat/>
    <w:uiPriority w:val="99"/>
    <w:rPr>
      <w:sz w:val="18"/>
      <w:szCs w:val="18"/>
    </w:rPr>
  </w:style>
  <w:style w:type="character" w:customStyle="1" w:styleId="85">
    <w:name w:val="页脚 Char"/>
    <w:qFormat/>
    <w:uiPriority w:val="99"/>
    <w:rPr>
      <w:sz w:val="18"/>
      <w:szCs w:val="18"/>
    </w:rPr>
  </w:style>
  <w:style w:type="paragraph" w:customStyle="1" w:styleId="86">
    <w:name w:val="Char Char1"/>
    <w:basedOn w:val="1"/>
    <w:qFormat/>
    <w:uiPriority w:val="0"/>
    <w:pPr>
      <w:spacing w:line="360" w:lineRule="auto"/>
    </w:pPr>
    <w:rPr>
      <w:rFonts w:ascii="宋体" w:hAnsi="宋体" w:cs="宋体"/>
    </w:rPr>
  </w:style>
  <w:style w:type="paragraph" w:customStyle="1" w:styleId="87">
    <w:name w:val="Char Char Char Char1"/>
    <w:basedOn w:val="9"/>
    <w:qFormat/>
    <w:uiPriority w:val="0"/>
    <w:pPr>
      <w:widowControl/>
      <w:spacing w:line="240" w:lineRule="auto"/>
      <w:ind w:firstLine="454" w:firstLineChars="0"/>
      <w:jc w:val="left"/>
    </w:pPr>
    <w:rPr>
      <w:rFonts w:ascii="Times New Roman" w:hAnsi="Times New Roman"/>
      <w:sz w:val="32"/>
      <w:szCs w:val="32"/>
    </w:rPr>
  </w:style>
  <w:style w:type="paragraph" w:styleId="88">
    <w:name w:val="List Paragraph"/>
    <w:basedOn w:val="1"/>
    <w:qFormat/>
    <w:uiPriority w:val="34"/>
    <w:pPr>
      <w:ind w:firstLine="420"/>
    </w:pPr>
  </w:style>
  <w:style w:type="paragraph" w:customStyle="1" w:styleId="89">
    <w:name w:val="正文："/>
    <w:basedOn w:val="1"/>
    <w:qFormat/>
    <w:uiPriority w:val="0"/>
    <w:pPr>
      <w:numPr>
        <w:ilvl w:val="0"/>
        <w:numId w:val="1"/>
      </w:numPr>
      <w:spacing w:line="240" w:lineRule="auto"/>
      <w:ind w:firstLine="0" w:firstLineChars="0"/>
    </w:pPr>
    <w:rPr>
      <w:rFonts w:ascii="Times New Roman" w:hAnsi="Times New Roman"/>
      <w:sz w:val="21"/>
    </w:rPr>
  </w:style>
  <w:style w:type="character" w:customStyle="1" w:styleId="90">
    <w:name w:val="description"/>
    <w:basedOn w:val="32"/>
    <w:qFormat/>
    <w:uiPriority w:val="0"/>
  </w:style>
  <w:style w:type="paragraph" w:customStyle="1" w:styleId="91">
    <w:name w:val="3级标题"/>
    <w:basedOn w:val="4"/>
    <w:link w:val="92"/>
    <w:qFormat/>
    <w:uiPriority w:val="0"/>
    <w:pPr>
      <w:snapToGrid w:val="0"/>
      <w:spacing w:before="240" w:after="120" w:line="240" w:lineRule="auto"/>
      <w:ind w:left="200" w:leftChars="200"/>
    </w:pPr>
    <w:rPr>
      <w:rFonts w:ascii="Times New Roman" w:hAnsi="Times New Roman"/>
      <w:color w:val="000000" w:themeColor="text1"/>
      <w14:textFill>
        <w14:solidFill>
          <w14:schemeClr w14:val="tx1"/>
        </w14:solidFill>
      </w14:textFill>
    </w:rPr>
  </w:style>
  <w:style w:type="character" w:customStyle="1" w:styleId="92">
    <w:name w:val="3级标题 字符"/>
    <w:basedOn w:val="42"/>
    <w:link w:val="91"/>
    <w:qFormat/>
    <w:uiPriority w:val="0"/>
    <w:rPr>
      <w:rFonts w:ascii="Arial" w:hAnsi="Arial" w:eastAsia="黑体"/>
      <w:color w:val="000000" w:themeColor="text1"/>
      <w:kern w:val="2"/>
      <w:sz w:val="28"/>
      <w:szCs w:val="32"/>
      <w:lang w:val="en-US" w:eastAsia="zh-CN" w:bidi="ar-SA"/>
      <w14:textFill>
        <w14:solidFill>
          <w14:schemeClr w14:val="tx1"/>
        </w14:solidFill>
      </w14:textFill>
    </w:rPr>
  </w:style>
  <w:style w:type="paragraph" w:customStyle="1" w:styleId="93">
    <w:name w:val="三级标题"/>
    <w:basedOn w:val="4"/>
    <w:qFormat/>
    <w:uiPriority w:val="0"/>
    <w:pPr>
      <w:snapToGrid w:val="0"/>
      <w:spacing w:before="260" w:line="500" w:lineRule="exact"/>
    </w:pPr>
    <w:rPr>
      <w:rFonts w:ascii="Times New Roman" w:hAnsi="Times New Roman" w:eastAsia="仿宋_GB2312"/>
      <w:bCs w:val="0"/>
      <w:color w:val="auto"/>
      <w:szCs w:val="20"/>
    </w:rPr>
  </w:style>
  <w:style w:type="paragraph" w:customStyle="1" w:styleId="94">
    <w:name w:val="标准正文"/>
    <w:basedOn w:val="1"/>
    <w:qFormat/>
    <w:uiPriority w:val="0"/>
    <w:pPr>
      <w:autoSpaceDE w:val="0"/>
      <w:autoSpaceDN w:val="0"/>
      <w:adjustRightInd w:val="0"/>
      <w:snapToGrid w:val="0"/>
      <w:spacing w:line="360" w:lineRule="auto"/>
      <w:ind w:firstLine="560"/>
    </w:pPr>
    <w:rPr>
      <w:rFonts w:ascii="宋体" w:hAnsi="宋体"/>
      <w:snapToGrid w:val="0"/>
      <w:color w:val="000000"/>
      <w:kern w:val="0"/>
      <w:sz w:val="28"/>
      <w:szCs w:val="28"/>
    </w:rPr>
  </w:style>
  <w:style w:type="paragraph" w:customStyle="1" w:styleId="95">
    <w:name w:val="图表标题"/>
    <w:basedOn w:val="1"/>
    <w:qFormat/>
    <w:uiPriority w:val="0"/>
    <w:pPr>
      <w:spacing w:line="360" w:lineRule="auto"/>
    </w:pPr>
    <w:rPr>
      <w:rFonts w:ascii="Times New Roman" w:hAnsi="Times New Roman" w:eastAsia="仿宋"/>
      <w:b/>
      <w:szCs w:val="28"/>
    </w:rPr>
  </w:style>
  <w:style w:type="paragraph" w:customStyle="1" w:styleId="96">
    <w:name w:val="Ⅰ级标题"/>
    <w:basedOn w:val="65"/>
    <w:link w:val="97"/>
    <w:qFormat/>
    <w:uiPriority w:val="0"/>
    <w:pPr>
      <w:snapToGrid w:val="0"/>
      <w:spacing w:before="120" w:after="50" w:afterLines="50" w:line="240" w:lineRule="auto"/>
    </w:pPr>
    <w:rPr>
      <w:rFonts w:ascii="Times New Roman" w:hAnsi="Times New Roman"/>
    </w:rPr>
  </w:style>
  <w:style w:type="character" w:customStyle="1" w:styleId="97">
    <w:name w:val="Ⅰ级标题 字符"/>
    <w:basedOn w:val="66"/>
    <w:link w:val="96"/>
    <w:qFormat/>
    <w:uiPriority w:val="0"/>
    <w:rPr>
      <w:rFonts w:ascii="Arial" w:hAnsi="Arial" w:eastAsia="黑体"/>
      <w:kern w:val="2"/>
      <w:sz w:val="32"/>
      <w:szCs w:val="24"/>
    </w:rPr>
  </w:style>
  <w:style w:type="paragraph" w:customStyle="1" w:styleId="98">
    <w:name w:val="图"/>
    <w:basedOn w:val="1"/>
    <w:link w:val="99"/>
    <w:qFormat/>
    <w:uiPriority w:val="0"/>
    <w:pPr>
      <w:snapToGrid w:val="0"/>
      <w:spacing w:before="50" w:beforeLines="50" w:after="100" w:afterLines="100" w:line="240" w:lineRule="auto"/>
      <w:ind w:firstLine="0" w:firstLineChars="0"/>
      <w:jc w:val="center"/>
    </w:pPr>
    <w:rPr>
      <w:rFonts w:ascii="楷体_GB2312" w:hAnsi="Times New Roman" w:eastAsia="楷体_GB2312"/>
      <w:b/>
      <w:bCs/>
      <w:sz w:val="28"/>
      <w:szCs w:val="28"/>
    </w:rPr>
  </w:style>
  <w:style w:type="character" w:customStyle="1" w:styleId="99">
    <w:name w:val="图 字符"/>
    <w:basedOn w:val="32"/>
    <w:link w:val="98"/>
    <w:qFormat/>
    <w:uiPriority w:val="0"/>
    <w:rPr>
      <w:rFonts w:ascii="楷体_GB2312" w:eastAsia="楷体_GB2312"/>
      <w:b/>
      <w:bCs/>
      <w:kern w:val="2"/>
      <w:sz w:val="28"/>
      <w:szCs w:val="28"/>
    </w:rPr>
  </w:style>
  <w:style w:type="paragraph" w:customStyle="1" w:styleId="100">
    <w:name w:val="表"/>
    <w:basedOn w:val="1"/>
    <w:link w:val="101"/>
    <w:qFormat/>
    <w:uiPriority w:val="0"/>
    <w:pPr>
      <w:snapToGrid w:val="0"/>
      <w:spacing w:before="240" w:after="50" w:afterLines="50" w:line="240" w:lineRule="auto"/>
      <w:ind w:firstLine="0" w:firstLineChars="0"/>
      <w:jc w:val="center"/>
    </w:pPr>
    <w:rPr>
      <w:rFonts w:ascii="Times New Roman" w:hAnsi="Times New Roman" w:eastAsia="楷体_GB2312"/>
      <w:b/>
      <w:color w:val="000000" w:themeColor="text1"/>
      <w:sz w:val="28"/>
      <w14:textFill>
        <w14:solidFill>
          <w14:schemeClr w14:val="tx1"/>
        </w14:solidFill>
      </w14:textFill>
    </w:rPr>
  </w:style>
  <w:style w:type="character" w:customStyle="1" w:styleId="101">
    <w:name w:val="表 字符"/>
    <w:basedOn w:val="32"/>
    <w:link w:val="100"/>
    <w:qFormat/>
    <w:uiPriority w:val="0"/>
    <w:rPr>
      <w:rFonts w:eastAsia="楷体_GB2312"/>
      <w:b/>
      <w:color w:val="000000" w:themeColor="text1"/>
      <w:kern w:val="2"/>
      <w:sz w:val="28"/>
      <w:szCs w:val="24"/>
      <w14:textFill>
        <w14:solidFill>
          <w14:schemeClr w14:val="tx1"/>
        </w14:solidFill>
      </w14:textFill>
    </w:rPr>
  </w:style>
  <w:style w:type="character" w:customStyle="1" w:styleId="102">
    <w:name w:val="src"/>
    <w:basedOn w:val="32"/>
    <w:qFormat/>
    <w:uiPriority w:val="0"/>
  </w:style>
  <w:style w:type="character" w:customStyle="1" w:styleId="103">
    <w:name w:val="批注主题 字符"/>
    <w:basedOn w:val="56"/>
    <w:link w:val="29"/>
    <w:semiHidden/>
    <w:qFormat/>
    <w:uiPriority w:val="0"/>
    <w:rPr>
      <w:rFonts w:ascii="Arial" w:hAnsi="Arial"/>
      <w:b/>
      <w:bCs/>
      <w:kern w:val="2"/>
      <w:sz w:val="24"/>
      <w:szCs w:val="24"/>
    </w:rPr>
  </w:style>
  <w:style w:type="table" w:customStyle="1" w:styleId="104">
    <w:name w:val="网格型1"/>
    <w:basedOn w:val="3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5">
    <w:name w:val="TOC Heading"/>
    <w:basedOn w:val="2"/>
    <w:next w:val="1"/>
    <w:unhideWhenUsed/>
    <w:qFormat/>
    <w:uiPriority w:val="39"/>
    <w:pPr>
      <w:overflowPunct/>
      <w:adjustRightInd/>
      <w:snapToGrid/>
      <w:spacing w:before="240" w:line="259" w:lineRule="auto"/>
      <w:jc w:val="left"/>
      <w:textAlignment w:val="auto"/>
      <w:outlineLvl w:val="9"/>
    </w:pPr>
    <w:rPr>
      <w:rFonts w:asciiTheme="majorHAnsi" w:hAnsiTheme="majorHAnsi" w:eastAsiaTheme="majorEastAsia" w:cstheme="majorBidi"/>
      <w:b w:val="0"/>
      <w:color w:val="2E75B6" w:themeColor="accent1" w:themeShade="BF"/>
      <w:spacing w:val="0"/>
      <w:sz w:val="32"/>
      <w:szCs w:val="32"/>
    </w:rPr>
  </w:style>
  <w:style w:type="character" w:customStyle="1" w:styleId="106">
    <w:name w:val="font21"/>
    <w:qFormat/>
    <w:uiPriority w:val="0"/>
    <w:rPr>
      <w:rFonts w:hint="default" w:ascii="Times New Roman" w:hAnsi="Times New Roman" w:cs="Times New Roman"/>
      <w:color w:val="000000"/>
      <w:sz w:val="16"/>
      <w:szCs w:val="16"/>
      <w:u w:val="none"/>
    </w:rPr>
  </w:style>
  <w:style w:type="character" w:customStyle="1" w:styleId="107">
    <w:name w:val="font01"/>
    <w:uiPriority w:val="0"/>
    <w:rPr>
      <w:rFonts w:hint="default" w:ascii="Times New Roman" w:hAnsi="Times New Roman" w:cs="Times New Roman"/>
      <w:color w:val="000000"/>
      <w:sz w:val="16"/>
      <w:szCs w:val="16"/>
      <w:u w:val="none"/>
    </w:rPr>
  </w:style>
  <w:style w:type="paragraph" w:customStyle="1" w:styleId="108">
    <w:name w:val="Revision"/>
    <w:hidden/>
    <w:semiHidden/>
    <w:uiPriority w:val="99"/>
    <w:rPr>
      <w:rFonts w:ascii="Arial" w:hAnsi="Arial"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header" Target="header2.xml"/><Relationship Id="rId59" Type="http://schemas.openxmlformats.org/officeDocument/2006/relationships/image" Target="media/image43.jpeg"/><Relationship Id="rId58" Type="http://schemas.openxmlformats.org/officeDocument/2006/relationships/image" Target="media/image42.pn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jpe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header" Target="header1.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emf"/><Relationship Id="rId3" Type="http://schemas.openxmlformats.org/officeDocument/2006/relationships/footnotes" Target="footnotes.xml"/><Relationship Id="rId29" Type="http://schemas.openxmlformats.org/officeDocument/2006/relationships/image" Target="media/image13.emf"/><Relationship Id="rId28" Type="http://schemas.openxmlformats.org/officeDocument/2006/relationships/image" Target="media/image12.emf"/><Relationship Id="rId27" Type="http://schemas.openxmlformats.org/officeDocument/2006/relationships/image" Target="media/image11.emf"/><Relationship Id="rId26" Type="http://schemas.openxmlformats.org/officeDocument/2006/relationships/image" Target="media/image10.emf"/><Relationship Id="rId25" Type="http://schemas.openxmlformats.org/officeDocument/2006/relationships/image" Target="media/image9.emf"/><Relationship Id="rId24" Type="http://schemas.openxmlformats.org/officeDocument/2006/relationships/image" Target="media/image8.emf"/><Relationship Id="rId23" Type="http://schemas.openxmlformats.org/officeDocument/2006/relationships/image" Target="media/image7.emf"/><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B547A33-F6EA-48CC-A652-EC36906A95A3}">
  <ds:schemaRefs/>
</ds:datastoreItem>
</file>

<file path=docProps/app.xml><?xml version="1.0" encoding="utf-8"?>
<Properties xmlns="http://schemas.openxmlformats.org/officeDocument/2006/extended-properties" xmlns:vt="http://schemas.openxmlformats.org/officeDocument/2006/docPropsVTypes">
  <Template>Normal</Template>
  <Pages>86</Pages>
  <Words>6185</Words>
  <Characters>35255</Characters>
  <Lines>293</Lines>
  <Paragraphs>82</Paragraphs>
  <TotalTime>643</TotalTime>
  <ScaleCrop>false</ScaleCrop>
  <LinksUpToDate>false</LinksUpToDate>
  <CharactersWithSpaces>41358</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2021-03-09T13:14:00Z</dcterms:created>
  <dc:creator>yxc</dc:creator>
  <cp:lastModifiedBy>Iceyee</cp:lastModifiedBy>
  <cp:lastPrinted>2021-03-11T01:08:00Z</cp:lastPrinted>
  <dcterms:modified xsi:type="dcterms:W3CDTF">2021-06-17T00:55:30Z</dcterms:modified>
  <dc:title>开化县池淮溪（里洪村桥至白渡村桥）、龙山溪（桐村村桥至松崖村外）、蚂蝗溪（封家至杨村）水环境功能区划调整方案可行性报告</dc:title>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3B10773B1FFC450082621FD80DA40E89</vt:lpwstr>
  </property>
</Properties>
</file>