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eastAsia="黑体"/>
          <w:sz w:val="32"/>
          <w:szCs w:val="32"/>
        </w:rPr>
      </w:pPr>
      <w:r>
        <w:rPr>
          <w:rFonts w:hint="eastAsia" w:eastAsia="黑体"/>
          <w:sz w:val="32"/>
          <w:szCs w:val="32"/>
        </w:rPr>
        <w:t>附件1</w:t>
      </w:r>
    </w:p>
    <w:p>
      <w:pPr>
        <w:spacing w:before="462" w:beforeLines="100" w:after="462" w:afterLines="100"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浙江省取消媒介刊登声明环节的事项清单</w:t>
      </w:r>
    </w:p>
    <w:tbl>
      <w:tblPr>
        <w:tblStyle w:val="4"/>
        <w:tblW w:w="1360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480"/>
        <w:gridCol w:w="684"/>
        <w:gridCol w:w="1726"/>
        <w:gridCol w:w="1667"/>
        <w:gridCol w:w="4274"/>
        <w:gridCol w:w="526"/>
        <w:gridCol w:w="727"/>
        <w:gridCol w:w="727"/>
        <w:gridCol w:w="950"/>
        <w:gridCol w:w="550"/>
        <w:gridCol w:w="1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tblHeader/>
          <w:jc w:val="center"/>
        </w:trPr>
        <w:tc>
          <w:tcPr>
            <w:tcW w:w="480" w:type="dxa"/>
            <w:vMerge w:val="restart"/>
            <w:vAlign w:val="center"/>
          </w:tcPr>
          <w:p>
            <w:pPr>
              <w:widowControl/>
              <w:jc w:val="center"/>
              <w:rPr>
                <w:rFonts w:eastAsia="黑体"/>
                <w:kern w:val="0"/>
                <w:sz w:val="22"/>
                <w:szCs w:val="22"/>
              </w:rPr>
            </w:pPr>
            <w:r>
              <w:rPr>
                <w:rFonts w:eastAsia="黑体"/>
                <w:kern w:val="0"/>
                <w:sz w:val="22"/>
                <w:szCs w:val="22"/>
              </w:rPr>
              <w:t>序号</w:t>
            </w:r>
          </w:p>
        </w:tc>
        <w:tc>
          <w:tcPr>
            <w:tcW w:w="684" w:type="dxa"/>
            <w:vMerge w:val="restart"/>
            <w:vAlign w:val="center"/>
          </w:tcPr>
          <w:p>
            <w:pPr>
              <w:widowControl/>
              <w:jc w:val="center"/>
              <w:rPr>
                <w:rFonts w:eastAsia="黑体"/>
                <w:kern w:val="0"/>
                <w:sz w:val="22"/>
                <w:szCs w:val="22"/>
              </w:rPr>
            </w:pPr>
            <w:r>
              <w:rPr>
                <w:rFonts w:eastAsia="黑体"/>
                <w:kern w:val="0"/>
                <w:sz w:val="22"/>
                <w:szCs w:val="22"/>
              </w:rPr>
              <w:t>部门</w:t>
            </w:r>
          </w:p>
        </w:tc>
        <w:tc>
          <w:tcPr>
            <w:tcW w:w="1726" w:type="dxa"/>
            <w:vMerge w:val="restart"/>
            <w:vAlign w:val="center"/>
          </w:tcPr>
          <w:p>
            <w:pPr>
              <w:widowControl/>
              <w:jc w:val="center"/>
              <w:rPr>
                <w:rFonts w:eastAsia="黑体"/>
                <w:kern w:val="0"/>
                <w:sz w:val="22"/>
                <w:szCs w:val="22"/>
              </w:rPr>
            </w:pPr>
            <w:r>
              <w:rPr>
                <w:rFonts w:eastAsia="黑体"/>
                <w:kern w:val="0"/>
                <w:sz w:val="22"/>
                <w:szCs w:val="22"/>
              </w:rPr>
              <w:t>事项名称及</w:t>
            </w:r>
          </w:p>
          <w:p>
            <w:pPr>
              <w:widowControl/>
              <w:jc w:val="center"/>
              <w:rPr>
                <w:rFonts w:eastAsia="黑体"/>
                <w:kern w:val="0"/>
                <w:sz w:val="22"/>
                <w:szCs w:val="22"/>
              </w:rPr>
            </w:pPr>
            <w:r>
              <w:rPr>
                <w:rFonts w:eastAsia="黑体"/>
                <w:kern w:val="0"/>
                <w:sz w:val="22"/>
                <w:szCs w:val="22"/>
              </w:rPr>
              <w:t>编码</w:t>
            </w:r>
          </w:p>
        </w:tc>
        <w:tc>
          <w:tcPr>
            <w:tcW w:w="1667" w:type="dxa"/>
            <w:vMerge w:val="restart"/>
            <w:vAlign w:val="center"/>
          </w:tcPr>
          <w:p>
            <w:pPr>
              <w:widowControl/>
              <w:jc w:val="center"/>
              <w:rPr>
                <w:rFonts w:eastAsia="黑体"/>
                <w:kern w:val="0"/>
                <w:sz w:val="24"/>
                <w:szCs w:val="24"/>
              </w:rPr>
            </w:pPr>
            <w:r>
              <w:rPr>
                <w:rFonts w:eastAsia="黑体"/>
                <w:kern w:val="0"/>
                <w:sz w:val="24"/>
                <w:szCs w:val="24"/>
              </w:rPr>
              <w:t>涉及环节名称</w:t>
            </w:r>
          </w:p>
        </w:tc>
        <w:tc>
          <w:tcPr>
            <w:tcW w:w="4274" w:type="dxa"/>
            <w:vMerge w:val="restart"/>
            <w:vAlign w:val="center"/>
          </w:tcPr>
          <w:p>
            <w:pPr>
              <w:widowControl/>
              <w:jc w:val="center"/>
              <w:rPr>
                <w:rFonts w:eastAsia="黑体"/>
                <w:kern w:val="0"/>
                <w:sz w:val="24"/>
                <w:szCs w:val="24"/>
              </w:rPr>
            </w:pPr>
            <w:r>
              <w:rPr>
                <w:rFonts w:eastAsia="黑体"/>
                <w:kern w:val="0"/>
                <w:sz w:val="24"/>
                <w:szCs w:val="24"/>
              </w:rPr>
              <w:t>设置依据</w:t>
            </w:r>
          </w:p>
        </w:tc>
        <w:tc>
          <w:tcPr>
            <w:tcW w:w="3480" w:type="dxa"/>
            <w:gridSpan w:val="5"/>
            <w:vAlign w:val="center"/>
          </w:tcPr>
          <w:p>
            <w:pPr>
              <w:widowControl/>
              <w:jc w:val="center"/>
              <w:rPr>
                <w:rFonts w:eastAsia="黑体"/>
                <w:kern w:val="0"/>
                <w:sz w:val="24"/>
                <w:szCs w:val="24"/>
              </w:rPr>
            </w:pPr>
            <w:r>
              <w:rPr>
                <w:rFonts w:eastAsia="黑体"/>
                <w:kern w:val="0"/>
                <w:sz w:val="24"/>
                <w:szCs w:val="24"/>
              </w:rPr>
              <w:t>清理方式</w:t>
            </w:r>
          </w:p>
        </w:tc>
        <w:tc>
          <w:tcPr>
            <w:tcW w:w="1297" w:type="dxa"/>
            <w:vMerge w:val="restart"/>
            <w:vAlign w:val="center"/>
          </w:tcPr>
          <w:p>
            <w:pPr>
              <w:widowControl/>
              <w:jc w:val="center"/>
              <w:rPr>
                <w:rFonts w:eastAsia="黑体"/>
                <w:kern w:val="0"/>
                <w:sz w:val="22"/>
                <w:szCs w:val="22"/>
              </w:rPr>
            </w:pPr>
            <w:r>
              <w:rPr>
                <w:rFonts w:eastAsia="黑体"/>
                <w:kern w:val="0"/>
                <w:sz w:val="22"/>
                <w:szCs w:val="2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tblHeader/>
          <w:jc w:val="center"/>
        </w:trPr>
        <w:tc>
          <w:tcPr>
            <w:tcW w:w="480" w:type="dxa"/>
            <w:vMerge w:val="continue"/>
            <w:vAlign w:val="center"/>
          </w:tcPr>
          <w:p>
            <w:pPr>
              <w:widowControl/>
              <w:jc w:val="center"/>
              <w:rPr>
                <w:rFonts w:eastAsia="黑体"/>
                <w:kern w:val="0"/>
                <w:sz w:val="22"/>
                <w:szCs w:val="22"/>
              </w:rPr>
            </w:pPr>
          </w:p>
        </w:tc>
        <w:tc>
          <w:tcPr>
            <w:tcW w:w="684" w:type="dxa"/>
            <w:vMerge w:val="continue"/>
            <w:vAlign w:val="center"/>
          </w:tcPr>
          <w:p>
            <w:pPr>
              <w:widowControl/>
              <w:jc w:val="center"/>
              <w:rPr>
                <w:rFonts w:eastAsia="黑体"/>
                <w:kern w:val="0"/>
                <w:sz w:val="22"/>
                <w:szCs w:val="22"/>
              </w:rPr>
            </w:pPr>
          </w:p>
        </w:tc>
        <w:tc>
          <w:tcPr>
            <w:tcW w:w="1726" w:type="dxa"/>
            <w:vMerge w:val="continue"/>
            <w:vAlign w:val="center"/>
          </w:tcPr>
          <w:p>
            <w:pPr>
              <w:widowControl/>
              <w:jc w:val="center"/>
              <w:rPr>
                <w:rFonts w:eastAsia="黑体"/>
                <w:kern w:val="0"/>
                <w:sz w:val="22"/>
                <w:szCs w:val="22"/>
              </w:rPr>
            </w:pPr>
          </w:p>
        </w:tc>
        <w:tc>
          <w:tcPr>
            <w:tcW w:w="1667" w:type="dxa"/>
            <w:vMerge w:val="continue"/>
            <w:vAlign w:val="center"/>
          </w:tcPr>
          <w:p>
            <w:pPr>
              <w:widowControl/>
              <w:jc w:val="center"/>
              <w:rPr>
                <w:rFonts w:eastAsia="黑体"/>
                <w:kern w:val="0"/>
                <w:sz w:val="24"/>
                <w:szCs w:val="24"/>
              </w:rPr>
            </w:pPr>
          </w:p>
        </w:tc>
        <w:tc>
          <w:tcPr>
            <w:tcW w:w="4274" w:type="dxa"/>
            <w:vMerge w:val="continue"/>
            <w:vAlign w:val="center"/>
          </w:tcPr>
          <w:p>
            <w:pPr>
              <w:widowControl/>
              <w:jc w:val="center"/>
              <w:rPr>
                <w:rFonts w:eastAsia="黑体"/>
                <w:kern w:val="0"/>
                <w:sz w:val="24"/>
                <w:szCs w:val="24"/>
              </w:rPr>
            </w:pPr>
          </w:p>
        </w:tc>
        <w:tc>
          <w:tcPr>
            <w:tcW w:w="526" w:type="dxa"/>
            <w:vAlign w:val="center"/>
          </w:tcPr>
          <w:p>
            <w:pPr>
              <w:widowControl/>
              <w:jc w:val="center"/>
              <w:rPr>
                <w:rFonts w:eastAsia="黑体"/>
                <w:kern w:val="0"/>
                <w:sz w:val="22"/>
                <w:szCs w:val="22"/>
              </w:rPr>
            </w:pPr>
            <w:r>
              <w:rPr>
                <w:rFonts w:eastAsia="黑体"/>
                <w:kern w:val="0"/>
                <w:sz w:val="22"/>
                <w:szCs w:val="22"/>
              </w:rPr>
              <w:t>直接取消</w:t>
            </w:r>
          </w:p>
        </w:tc>
        <w:tc>
          <w:tcPr>
            <w:tcW w:w="727" w:type="dxa"/>
            <w:vAlign w:val="center"/>
          </w:tcPr>
          <w:p>
            <w:pPr>
              <w:widowControl/>
              <w:jc w:val="center"/>
              <w:rPr>
                <w:rFonts w:eastAsia="黑体"/>
                <w:kern w:val="0"/>
                <w:sz w:val="22"/>
                <w:szCs w:val="22"/>
              </w:rPr>
            </w:pPr>
            <w:r>
              <w:rPr>
                <w:rFonts w:eastAsia="黑体"/>
                <w:kern w:val="0"/>
                <w:sz w:val="22"/>
                <w:szCs w:val="22"/>
              </w:rPr>
              <w:t>书面承诺替代</w:t>
            </w:r>
          </w:p>
        </w:tc>
        <w:tc>
          <w:tcPr>
            <w:tcW w:w="727" w:type="dxa"/>
            <w:vAlign w:val="center"/>
          </w:tcPr>
          <w:p>
            <w:pPr>
              <w:widowControl/>
              <w:jc w:val="center"/>
              <w:rPr>
                <w:rFonts w:eastAsia="黑体"/>
                <w:kern w:val="0"/>
                <w:sz w:val="22"/>
                <w:szCs w:val="22"/>
              </w:rPr>
            </w:pPr>
            <w:r>
              <w:rPr>
                <w:rFonts w:eastAsia="黑体"/>
                <w:kern w:val="0"/>
                <w:sz w:val="22"/>
                <w:szCs w:val="22"/>
              </w:rPr>
              <w:t>数据共享替代</w:t>
            </w:r>
          </w:p>
        </w:tc>
        <w:tc>
          <w:tcPr>
            <w:tcW w:w="950" w:type="dxa"/>
            <w:vAlign w:val="center"/>
          </w:tcPr>
          <w:p>
            <w:pPr>
              <w:widowControl/>
              <w:jc w:val="center"/>
              <w:rPr>
                <w:rFonts w:eastAsia="黑体"/>
                <w:kern w:val="0"/>
                <w:sz w:val="22"/>
                <w:szCs w:val="22"/>
              </w:rPr>
            </w:pPr>
            <w:r>
              <w:rPr>
                <w:rFonts w:eastAsia="黑体"/>
                <w:kern w:val="0"/>
                <w:sz w:val="22"/>
                <w:szCs w:val="22"/>
              </w:rPr>
              <w:t>无法律</w:t>
            </w:r>
          </w:p>
          <w:p>
            <w:pPr>
              <w:widowControl/>
              <w:jc w:val="center"/>
              <w:rPr>
                <w:rFonts w:eastAsia="黑体"/>
                <w:kern w:val="0"/>
                <w:sz w:val="22"/>
                <w:szCs w:val="22"/>
              </w:rPr>
            </w:pPr>
            <w:r>
              <w:rPr>
                <w:rFonts w:eastAsia="黑体"/>
                <w:kern w:val="0"/>
                <w:sz w:val="22"/>
                <w:szCs w:val="22"/>
              </w:rPr>
              <w:t>风险取消</w:t>
            </w:r>
          </w:p>
        </w:tc>
        <w:tc>
          <w:tcPr>
            <w:tcW w:w="550" w:type="dxa"/>
            <w:vAlign w:val="center"/>
          </w:tcPr>
          <w:p>
            <w:pPr>
              <w:widowControl/>
              <w:jc w:val="center"/>
              <w:rPr>
                <w:rFonts w:eastAsia="黑体"/>
                <w:kern w:val="0"/>
                <w:sz w:val="22"/>
                <w:szCs w:val="22"/>
              </w:rPr>
            </w:pPr>
            <w:r>
              <w:rPr>
                <w:rFonts w:eastAsia="黑体"/>
                <w:kern w:val="0"/>
                <w:sz w:val="22"/>
                <w:szCs w:val="22"/>
              </w:rPr>
              <w:t>其他</w:t>
            </w:r>
          </w:p>
        </w:tc>
        <w:tc>
          <w:tcPr>
            <w:tcW w:w="1297" w:type="dxa"/>
            <w:vMerge w:val="continue"/>
            <w:vAlign w:val="center"/>
          </w:tcPr>
          <w:p>
            <w:pPr>
              <w:widowControl/>
              <w:jc w:val="center"/>
              <w:rPr>
                <w:rFonts w:eastAsia="黑体"/>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vAlign w:val="center"/>
          </w:tcPr>
          <w:p>
            <w:pPr>
              <w:widowControl/>
              <w:jc w:val="center"/>
              <w:rPr>
                <w:kern w:val="0"/>
                <w:sz w:val="22"/>
                <w:szCs w:val="22"/>
              </w:rPr>
            </w:pPr>
            <w:r>
              <w:rPr>
                <w:kern w:val="0"/>
                <w:sz w:val="22"/>
                <w:szCs w:val="22"/>
              </w:rPr>
              <w:t>1</w:t>
            </w:r>
          </w:p>
        </w:tc>
        <w:tc>
          <w:tcPr>
            <w:tcW w:w="684" w:type="dxa"/>
            <w:vAlign w:val="center"/>
          </w:tcPr>
          <w:p>
            <w:pPr>
              <w:widowControl/>
              <w:jc w:val="center"/>
              <w:rPr>
                <w:color w:val="000000"/>
                <w:kern w:val="0"/>
                <w:sz w:val="22"/>
                <w:szCs w:val="22"/>
              </w:rPr>
            </w:pPr>
            <w:r>
              <w:rPr>
                <w:color w:val="000000"/>
                <w:kern w:val="0"/>
                <w:sz w:val="22"/>
                <w:szCs w:val="22"/>
              </w:rPr>
              <w:t>省司法厅</w:t>
            </w:r>
          </w:p>
        </w:tc>
        <w:tc>
          <w:tcPr>
            <w:tcW w:w="1726" w:type="dxa"/>
            <w:vAlign w:val="center"/>
          </w:tcPr>
          <w:p>
            <w:pPr>
              <w:widowControl/>
              <w:rPr>
                <w:kern w:val="0"/>
                <w:sz w:val="22"/>
                <w:szCs w:val="22"/>
              </w:rPr>
            </w:pPr>
            <w:r>
              <w:rPr>
                <w:kern w:val="0"/>
                <w:sz w:val="22"/>
                <w:szCs w:val="22"/>
              </w:rPr>
              <w:t>公证员执业证遗失补办</w:t>
            </w:r>
          </w:p>
        </w:tc>
        <w:tc>
          <w:tcPr>
            <w:tcW w:w="1667" w:type="dxa"/>
            <w:vAlign w:val="center"/>
          </w:tcPr>
          <w:p>
            <w:pPr>
              <w:widowControl/>
              <w:rPr>
                <w:kern w:val="0"/>
                <w:sz w:val="22"/>
                <w:szCs w:val="22"/>
              </w:rPr>
            </w:pPr>
            <w:r>
              <w:rPr>
                <w:kern w:val="0"/>
                <w:sz w:val="22"/>
                <w:szCs w:val="22"/>
              </w:rPr>
              <w:t>在省级以上报纸刊登作废声明</w:t>
            </w:r>
          </w:p>
        </w:tc>
        <w:tc>
          <w:tcPr>
            <w:tcW w:w="4274" w:type="dxa"/>
            <w:vAlign w:val="center"/>
          </w:tcPr>
          <w:p>
            <w:pPr>
              <w:widowControl/>
              <w:rPr>
                <w:kern w:val="0"/>
                <w:sz w:val="22"/>
                <w:szCs w:val="22"/>
              </w:rPr>
            </w:pPr>
            <w:r>
              <w:rPr>
                <w:kern w:val="0"/>
                <w:sz w:val="22"/>
                <w:szCs w:val="22"/>
              </w:rPr>
              <w:t>《公证员执业管理办法》第十九条 公证员执业证书损毁或者遗失的，由本人提出申请，所在公证机构予以证明，提请所在地司法行政机关报省、自治区、直辖市司法行政机关申请换发或补发。执业证书遗失的，由所在公证机构在省级报刊上声明作废。</w:t>
            </w:r>
          </w:p>
        </w:tc>
        <w:tc>
          <w:tcPr>
            <w:tcW w:w="526" w:type="dxa"/>
            <w:vAlign w:val="center"/>
          </w:tcPr>
          <w:p>
            <w:pPr>
              <w:widowControl/>
              <w:jc w:val="center"/>
              <w:rPr>
                <w:kern w:val="0"/>
                <w:sz w:val="22"/>
                <w:szCs w:val="22"/>
              </w:rPr>
            </w:pPr>
            <w:r>
              <w:rPr>
                <w:kern w:val="0"/>
                <w:sz w:val="22"/>
                <w:szCs w:val="22"/>
              </w:rPr>
              <w:t>√</w:t>
            </w:r>
          </w:p>
        </w:tc>
        <w:tc>
          <w:tcPr>
            <w:tcW w:w="727" w:type="dxa"/>
            <w:vAlign w:val="center"/>
          </w:tcPr>
          <w:p>
            <w:pPr>
              <w:widowControl/>
              <w:jc w:val="center"/>
              <w:rPr>
                <w:kern w:val="0"/>
                <w:sz w:val="22"/>
                <w:szCs w:val="22"/>
              </w:rPr>
            </w:pPr>
          </w:p>
        </w:tc>
        <w:tc>
          <w:tcPr>
            <w:tcW w:w="727" w:type="dxa"/>
            <w:vAlign w:val="center"/>
          </w:tcPr>
          <w:p>
            <w:pPr>
              <w:widowControl/>
              <w:jc w:val="center"/>
              <w:rPr>
                <w:kern w:val="0"/>
                <w:sz w:val="22"/>
                <w:szCs w:val="22"/>
              </w:rPr>
            </w:pPr>
          </w:p>
        </w:tc>
        <w:tc>
          <w:tcPr>
            <w:tcW w:w="950" w:type="dxa"/>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vAlign w:val="center"/>
          </w:tcPr>
          <w:p>
            <w:pPr>
              <w:widowControl/>
              <w:jc w:val="center"/>
              <w:rPr>
                <w:kern w:val="0"/>
                <w:sz w:val="22"/>
                <w:szCs w:val="22"/>
              </w:rPr>
            </w:pPr>
            <w:r>
              <w:rPr>
                <w:kern w:val="0"/>
                <w:sz w:val="22"/>
                <w:szCs w:val="22"/>
              </w:rPr>
              <w:t>2</w:t>
            </w:r>
          </w:p>
        </w:tc>
        <w:tc>
          <w:tcPr>
            <w:tcW w:w="684" w:type="dxa"/>
            <w:vAlign w:val="center"/>
          </w:tcPr>
          <w:p>
            <w:pPr>
              <w:widowControl/>
              <w:jc w:val="center"/>
              <w:rPr>
                <w:color w:val="000000"/>
                <w:kern w:val="0"/>
                <w:sz w:val="22"/>
                <w:szCs w:val="22"/>
              </w:rPr>
            </w:pPr>
            <w:r>
              <w:rPr>
                <w:color w:val="000000"/>
                <w:kern w:val="0"/>
                <w:sz w:val="22"/>
                <w:szCs w:val="22"/>
              </w:rPr>
              <w:t>省司法厅</w:t>
            </w:r>
          </w:p>
        </w:tc>
        <w:tc>
          <w:tcPr>
            <w:tcW w:w="1726" w:type="dxa"/>
            <w:vAlign w:val="center"/>
          </w:tcPr>
          <w:p>
            <w:pPr>
              <w:widowControl/>
              <w:rPr>
                <w:kern w:val="0"/>
                <w:sz w:val="22"/>
                <w:szCs w:val="22"/>
              </w:rPr>
            </w:pPr>
            <w:r>
              <w:rPr>
                <w:kern w:val="0"/>
                <w:sz w:val="22"/>
                <w:szCs w:val="22"/>
              </w:rPr>
              <w:t>公证机构执业证遗失补办</w:t>
            </w:r>
          </w:p>
        </w:tc>
        <w:tc>
          <w:tcPr>
            <w:tcW w:w="1667" w:type="dxa"/>
            <w:vAlign w:val="center"/>
          </w:tcPr>
          <w:p>
            <w:pPr>
              <w:widowControl/>
              <w:rPr>
                <w:kern w:val="0"/>
                <w:sz w:val="22"/>
                <w:szCs w:val="22"/>
              </w:rPr>
            </w:pPr>
            <w:r>
              <w:rPr>
                <w:kern w:val="0"/>
                <w:sz w:val="22"/>
                <w:szCs w:val="22"/>
              </w:rPr>
              <w:t>在省级以上报纸刊登遗失声明</w:t>
            </w:r>
          </w:p>
        </w:tc>
        <w:tc>
          <w:tcPr>
            <w:tcW w:w="4274" w:type="dxa"/>
            <w:vAlign w:val="center"/>
          </w:tcPr>
          <w:p>
            <w:pPr>
              <w:widowControl/>
              <w:rPr>
                <w:kern w:val="0"/>
                <w:sz w:val="22"/>
                <w:szCs w:val="22"/>
              </w:rPr>
            </w:pPr>
            <w:r>
              <w:rPr>
                <w:kern w:val="0"/>
                <w:sz w:val="22"/>
                <w:szCs w:val="22"/>
              </w:rPr>
              <w:t>无法定依据</w:t>
            </w:r>
          </w:p>
        </w:tc>
        <w:tc>
          <w:tcPr>
            <w:tcW w:w="526" w:type="dxa"/>
            <w:vAlign w:val="center"/>
          </w:tcPr>
          <w:p>
            <w:pPr>
              <w:widowControl/>
              <w:jc w:val="center"/>
              <w:rPr>
                <w:kern w:val="0"/>
                <w:sz w:val="22"/>
                <w:szCs w:val="22"/>
              </w:rPr>
            </w:pPr>
            <w:r>
              <w:rPr>
                <w:kern w:val="0"/>
                <w:sz w:val="22"/>
                <w:szCs w:val="22"/>
              </w:rPr>
              <w:t>√</w:t>
            </w:r>
          </w:p>
        </w:tc>
        <w:tc>
          <w:tcPr>
            <w:tcW w:w="727" w:type="dxa"/>
            <w:vAlign w:val="center"/>
          </w:tcPr>
          <w:p>
            <w:pPr>
              <w:widowControl/>
              <w:jc w:val="center"/>
              <w:rPr>
                <w:kern w:val="0"/>
                <w:sz w:val="22"/>
                <w:szCs w:val="22"/>
              </w:rPr>
            </w:pPr>
          </w:p>
        </w:tc>
        <w:tc>
          <w:tcPr>
            <w:tcW w:w="727" w:type="dxa"/>
            <w:vAlign w:val="center"/>
          </w:tcPr>
          <w:p>
            <w:pPr>
              <w:widowControl/>
              <w:jc w:val="center"/>
              <w:rPr>
                <w:kern w:val="0"/>
                <w:sz w:val="22"/>
                <w:szCs w:val="22"/>
              </w:rPr>
            </w:pPr>
          </w:p>
        </w:tc>
        <w:tc>
          <w:tcPr>
            <w:tcW w:w="950" w:type="dxa"/>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vAlign w:val="center"/>
          </w:tcPr>
          <w:p>
            <w:pPr>
              <w:widowControl/>
              <w:jc w:val="center"/>
              <w:rPr>
                <w:kern w:val="0"/>
                <w:sz w:val="22"/>
                <w:szCs w:val="22"/>
              </w:rPr>
            </w:pPr>
            <w:r>
              <w:rPr>
                <w:kern w:val="0"/>
                <w:sz w:val="22"/>
                <w:szCs w:val="22"/>
              </w:rPr>
              <w:t>3</w:t>
            </w:r>
          </w:p>
        </w:tc>
        <w:tc>
          <w:tcPr>
            <w:tcW w:w="684" w:type="dxa"/>
            <w:vAlign w:val="center"/>
          </w:tcPr>
          <w:p>
            <w:pPr>
              <w:widowControl/>
              <w:jc w:val="center"/>
              <w:rPr>
                <w:kern w:val="0"/>
                <w:sz w:val="22"/>
                <w:szCs w:val="22"/>
              </w:rPr>
            </w:pPr>
            <w:r>
              <w:rPr>
                <w:kern w:val="0"/>
                <w:sz w:val="22"/>
                <w:szCs w:val="22"/>
              </w:rPr>
              <w:t>省司法厅</w:t>
            </w:r>
          </w:p>
        </w:tc>
        <w:tc>
          <w:tcPr>
            <w:tcW w:w="1726" w:type="dxa"/>
            <w:vAlign w:val="center"/>
          </w:tcPr>
          <w:p>
            <w:pPr>
              <w:widowControl/>
              <w:rPr>
                <w:kern w:val="0"/>
                <w:sz w:val="22"/>
                <w:szCs w:val="22"/>
              </w:rPr>
            </w:pPr>
            <w:r>
              <w:rPr>
                <w:kern w:val="0"/>
                <w:sz w:val="22"/>
                <w:szCs w:val="22"/>
              </w:rPr>
              <w:t>律师申请补发执业证书</w:t>
            </w:r>
          </w:p>
        </w:tc>
        <w:tc>
          <w:tcPr>
            <w:tcW w:w="1667" w:type="dxa"/>
            <w:vAlign w:val="center"/>
          </w:tcPr>
          <w:p>
            <w:pPr>
              <w:widowControl/>
              <w:rPr>
                <w:kern w:val="0"/>
                <w:sz w:val="22"/>
                <w:szCs w:val="22"/>
              </w:rPr>
            </w:pPr>
            <w:r>
              <w:rPr>
                <w:kern w:val="0"/>
                <w:sz w:val="22"/>
                <w:szCs w:val="22"/>
              </w:rPr>
              <w:t>在省级以上报刊或指定网站刊登遗失声明</w:t>
            </w:r>
          </w:p>
        </w:tc>
        <w:tc>
          <w:tcPr>
            <w:tcW w:w="4274" w:type="dxa"/>
            <w:vAlign w:val="center"/>
          </w:tcPr>
          <w:p>
            <w:pPr>
              <w:widowControl/>
              <w:rPr>
                <w:kern w:val="0"/>
                <w:sz w:val="22"/>
                <w:szCs w:val="22"/>
              </w:rPr>
            </w:pPr>
            <w:r>
              <w:rPr>
                <w:kern w:val="0"/>
                <w:sz w:val="22"/>
                <w:szCs w:val="22"/>
              </w:rPr>
              <w:t>《律师和律师事务所执业证书管理办法》第十一条　执业证书遗失的，律师或者律师事务所应当及时报告所在地县（区）司法行政机关，并在省级以上报刊或者发证机关指定网站上刊登遗失声明。</w:t>
            </w:r>
          </w:p>
        </w:tc>
        <w:tc>
          <w:tcPr>
            <w:tcW w:w="526" w:type="dxa"/>
            <w:vAlign w:val="center"/>
          </w:tcPr>
          <w:p>
            <w:pPr>
              <w:widowControl/>
              <w:jc w:val="center"/>
              <w:rPr>
                <w:color w:val="FF0000"/>
                <w:kern w:val="0"/>
                <w:sz w:val="22"/>
                <w:szCs w:val="22"/>
              </w:rPr>
            </w:pPr>
          </w:p>
        </w:tc>
        <w:tc>
          <w:tcPr>
            <w:tcW w:w="727" w:type="dxa"/>
            <w:vAlign w:val="center"/>
          </w:tcPr>
          <w:p>
            <w:pPr>
              <w:widowControl/>
              <w:jc w:val="center"/>
              <w:rPr>
                <w:color w:val="FF0000"/>
                <w:kern w:val="0"/>
                <w:sz w:val="22"/>
                <w:szCs w:val="22"/>
              </w:rPr>
            </w:pPr>
          </w:p>
        </w:tc>
        <w:tc>
          <w:tcPr>
            <w:tcW w:w="727" w:type="dxa"/>
            <w:vAlign w:val="center"/>
          </w:tcPr>
          <w:p>
            <w:pPr>
              <w:widowControl/>
              <w:jc w:val="center"/>
              <w:rPr>
                <w:color w:val="FF0000"/>
                <w:kern w:val="0"/>
                <w:sz w:val="22"/>
                <w:szCs w:val="22"/>
              </w:rPr>
            </w:pPr>
          </w:p>
        </w:tc>
        <w:tc>
          <w:tcPr>
            <w:tcW w:w="950" w:type="dxa"/>
            <w:vAlign w:val="center"/>
          </w:tcPr>
          <w:p>
            <w:pPr>
              <w:widowControl/>
              <w:jc w:val="center"/>
              <w:rPr>
                <w:color w:val="FF0000"/>
                <w:kern w:val="0"/>
                <w:sz w:val="22"/>
                <w:szCs w:val="22"/>
              </w:rPr>
            </w:pPr>
          </w:p>
        </w:tc>
        <w:tc>
          <w:tcPr>
            <w:tcW w:w="550" w:type="dxa"/>
            <w:vAlign w:val="center"/>
          </w:tcPr>
          <w:p>
            <w:pPr>
              <w:widowControl/>
              <w:jc w:val="center"/>
              <w:rPr>
                <w:kern w:val="0"/>
                <w:sz w:val="22"/>
                <w:szCs w:val="22"/>
              </w:rPr>
            </w:pPr>
            <w:r>
              <w:rPr>
                <w:kern w:val="0"/>
                <w:sz w:val="22"/>
                <w:szCs w:val="22"/>
              </w:rPr>
              <w:t>√</w:t>
            </w:r>
          </w:p>
        </w:tc>
        <w:tc>
          <w:tcPr>
            <w:tcW w:w="1297" w:type="dxa"/>
            <w:vAlign w:val="center"/>
          </w:tcPr>
          <w:p>
            <w:pPr>
              <w:widowControl/>
              <w:rPr>
                <w:kern w:val="0"/>
                <w:sz w:val="22"/>
                <w:szCs w:val="22"/>
              </w:rPr>
            </w:pPr>
            <w:r>
              <w:rPr>
                <w:kern w:val="0"/>
                <w:sz w:val="22"/>
                <w:szCs w:val="22"/>
              </w:rPr>
              <w:t>由省律协在其网站公告，不收取费用。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vAlign w:val="center"/>
          </w:tcPr>
          <w:p>
            <w:pPr>
              <w:widowControl/>
              <w:jc w:val="center"/>
              <w:rPr>
                <w:kern w:val="0"/>
                <w:sz w:val="22"/>
                <w:szCs w:val="22"/>
              </w:rPr>
            </w:pPr>
            <w:r>
              <w:rPr>
                <w:kern w:val="0"/>
                <w:sz w:val="22"/>
                <w:szCs w:val="22"/>
              </w:rPr>
              <w:t>4</w:t>
            </w:r>
          </w:p>
        </w:tc>
        <w:tc>
          <w:tcPr>
            <w:tcW w:w="684" w:type="dxa"/>
            <w:vAlign w:val="center"/>
          </w:tcPr>
          <w:p>
            <w:pPr>
              <w:widowControl/>
              <w:jc w:val="center"/>
              <w:rPr>
                <w:kern w:val="0"/>
                <w:sz w:val="22"/>
                <w:szCs w:val="22"/>
              </w:rPr>
            </w:pPr>
            <w:r>
              <w:rPr>
                <w:kern w:val="0"/>
                <w:sz w:val="22"/>
                <w:szCs w:val="22"/>
              </w:rPr>
              <w:t>省司法厅</w:t>
            </w:r>
          </w:p>
        </w:tc>
        <w:tc>
          <w:tcPr>
            <w:tcW w:w="1726" w:type="dxa"/>
            <w:vAlign w:val="center"/>
          </w:tcPr>
          <w:p>
            <w:pPr>
              <w:widowControl/>
              <w:rPr>
                <w:kern w:val="0"/>
                <w:sz w:val="22"/>
                <w:szCs w:val="22"/>
              </w:rPr>
            </w:pPr>
            <w:r>
              <w:rPr>
                <w:kern w:val="0"/>
                <w:sz w:val="22"/>
                <w:szCs w:val="22"/>
              </w:rPr>
              <w:t>律师事务所申请补发执业证书</w:t>
            </w:r>
          </w:p>
        </w:tc>
        <w:tc>
          <w:tcPr>
            <w:tcW w:w="1667" w:type="dxa"/>
            <w:vAlign w:val="center"/>
          </w:tcPr>
          <w:p>
            <w:pPr>
              <w:widowControl/>
              <w:rPr>
                <w:kern w:val="0"/>
                <w:sz w:val="22"/>
                <w:szCs w:val="22"/>
              </w:rPr>
            </w:pPr>
            <w:r>
              <w:rPr>
                <w:kern w:val="0"/>
                <w:sz w:val="22"/>
                <w:szCs w:val="22"/>
              </w:rPr>
              <w:t>在省级以上报刊或者发证机关指定网站上刊登遗失声明</w:t>
            </w:r>
          </w:p>
        </w:tc>
        <w:tc>
          <w:tcPr>
            <w:tcW w:w="4274" w:type="dxa"/>
            <w:vAlign w:val="center"/>
          </w:tcPr>
          <w:p>
            <w:pPr>
              <w:widowControl/>
              <w:rPr>
                <w:kern w:val="0"/>
                <w:sz w:val="22"/>
                <w:szCs w:val="22"/>
              </w:rPr>
            </w:pPr>
            <w:r>
              <w:rPr>
                <w:kern w:val="0"/>
                <w:sz w:val="22"/>
                <w:szCs w:val="22"/>
              </w:rPr>
              <w:t>《律师和律师事务所执业证书管理办法》第十一条　执业证书遗失的，律师或者律师事务所应当及时报告所在地县（区）司法行政机关，并在省级以上报刊或者发证机关指定网站上刊登遗失声明。</w:t>
            </w:r>
          </w:p>
        </w:tc>
        <w:tc>
          <w:tcPr>
            <w:tcW w:w="526" w:type="dxa"/>
            <w:vAlign w:val="center"/>
          </w:tcPr>
          <w:p>
            <w:pPr>
              <w:widowControl/>
              <w:jc w:val="center"/>
              <w:rPr>
                <w:kern w:val="0"/>
                <w:sz w:val="22"/>
                <w:szCs w:val="22"/>
              </w:rPr>
            </w:pPr>
          </w:p>
        </w:tc>
        <w:tc>
          <w:tcPr>
            <w:tcW w:w="727" w:type="dxa"/>
            <w:vAlign w:val="center"/>
          </w:tcPr>
          <w:p>
            <w:pPr>
              <w:widowControl/>
              <w:jc w:val="center"/>
              <w:rPr>
                <w:kern w:val="0"/>
                <w:sz w:val="22"/>
                <w:szCs w:val="22"/>
              </w:rPr>
            </w:pPr>
          </w:p>
        </w:tc>
        <w:tc>
          <w:tcPr>
            <w:tcW w:w="727" w:type="dxa"/>
            <w:vAlign w:val="center"/>
          </w:tcPr>
          <w:p>
            <w:pPr>
              <w:widowControl/>
              <w:jc w:val="center"/>
              <w:rPr>
                <w:kern w:val="0"/>
                <w:sz w:val="22"/>
                <w:szCs w:val="22"/>
              </w:rPr>
            </w:pPr>
          </w:p>
        </w:tc>
        <w:tc>
          <w:tcPr>
            <w:tcW w:w="950" w:type="dxa"/>
            <w:vAlign w:val="center"/>
          </w:tcPr>
          <w:p>
            <w:pPr>
              <w:widowControl/>
              <w:jc w:val="center"/>
              <w:rPr>
                <w:kern w:val="0"/>
                <w:sz w:val="22"/>
                <w:szCs w:val="22"/>
              </w:rPr>
            </w:pPr>
          </w:p>
        </w:tc>
        <w:tc>
          <w:tcPr>
            <w:tcW w:w="550" w:type="dxa"/>
            <w:vAlign w:val="center"/>
          </w:tcPr>
          <w:p>
            <w:pPr>
              <w:widowControl/>
              <w:jc w:val="center"/>
              <w:rPr>
                <w:kern w:val="0"/>
                <w:sz w:val="22"/>
                <w:szCs w:val="22"/>
              </w:rPr>
            </w:pPr>
            <w:r>
              <w:rPr>
                <w:kern w:val="0"/>
                <w:sz w:val="22"/>
                <w:szCs w:val="22"/>
              </w:rPr>
              <w:t>√</w:t>
            </w:r>
          </w:p>
        </w:tc>
        <w:tc>
          <w:tcPr>
            <w:tcW w:w="1297" w:type="dxa"/>
            <w:vAlign w:val="center"/>
          </w:tcPr>
          <w:p>
            <w:pPr>
              <w:widowControl/>
              <w:rPr>
                <w:kern w:val="0"/>
                <w:sz w:val="22"/>
                <w:szCs w:val="22"/>
              </w:rPr>
            </w:pPr>
            <w:r>
              <w:rPr>
                <w:kern w:val="0"/>
                <w:sz w:val="22"/>
                <w:szCs w:val="22"/>
              </w:rPr>
              <w:t>由省律协在其网站公告，不收取费用。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590" w:hRule="atLeast"/>
          <w:jc w:val="center"/>
        </w:trPr>
        <w:tc>
          <w:tcPr>
            <w:tcW w:w="480" w:type="dxa"/>
            <w:vAlign w:val="center"/>
          </w:tcPr>
          <w:p>
            <w:pPr>
              <w:widowControl/>
              <w:jc w:val="center"/>
              <w:rPr>
                <w:kern w:val="0"/>
                <w:sz w:val="22"/>
                <w:szCs w:val="22"/>
              </w:rPr>
            </w:pPr>
            <w:r>
              <w:rPr>
                <w:kern w:val="0"/>
                <w:sz w:val="22"/>
                <w:szCs w:val="22"/>
              </w:rPr>
              <w:t>5</w:t>
            </w:r>
          </w:p>
        </w:tc>
        <w:tc>
          <w:tcPr>
            <w:tcW w:w="684" w:type="dxa"/>
            <w:vAlign w:val="center"/>
          </w:tcPr>
          <w:p>
            <w:pPr>
              <w:widowControl/>
              <w:jc w:val="center"/>
              <w:rPr>
                <w:kern w:val="0"/>
                <w:sz w:val="22"/>
                <w:szCs w:val="22"/>
              </w:rPr>
            </w:pPr>
            <w:r>
              <w:rPr>
                <w:kern w:val="0"/>
                <w:sz w:val="22"/>
                <w:szCs w:val="22"/>
              </w:rPr>
              <w:t>省财政厅</w:t>
            </w:r>
          </w:p>
        </w:tc>
        <w:tc>
          <w:tcPr>
            <w:tcW w:w="1726" w:type="dxa"/>
            <w:vAlign w:val="center"/>
          </w:tcPr>
          <w:p>
            <w:pPr>
              <w:widowControl/>
              <w:rPr>
                <w:kern w:val="0"/>
                <w:sz w:val="22"/>
                <w:szCs w:val="22"/>
              </w:rPr>
            </w:pPr>
            <w:r>
              <w:rPr>
                <w:kern w:val="0"/>
                <w:sz w:val="22"/>
                <w:szCs w:val="22"/>
              </w:rPr>
              <w:t>财政票据领购证灭失</w:t>
            </w:r>
          </w:p>
        </w:tc>
        <w:tc>
          <w:tcPr>
            <w:tcW w:w="1667" w:type="dxa"/>
            <w:vAlign w:val="center"/>
          </w:tcPr>
          <w:p>
            <w:pPr>
              <w:widowControl/>
              <w:rPr>
                <w:kern w:val="0"/>
                <w:sz w:val="22"/>
                <w:szCs w:val="22"/>
              </w:rPr>
            </w:pPr>
            <w:r>
              <w:rPr>
                <w:kern w:val="0"/>
                <w:sz w:val="22"/>
                <w:szCs w:val="22"/>
              </w:rPr>
              <w:t>在报纸刊登作废声明</w:t>
            </w:r>
          </w:p>
        </w:tc>
        <w:tc>
          <w:tcPr>
            <w:tcW w:w="4274" w:type="dxa"/>
            <w:vAlign w:val="center"/>
          </w:tcPr>
          <w:p>
            <w:pPr>
              <w:widowControl/>
              <w:rPr>
                <w:kern w:val="0"/>
                <w:sz w:val="22"/>
                <w:szCs w:val="22"/>
              </w:rPr>
            </w:pPr>
            <w:r>
              <w:rPr>
                <w:kern w:val="0"/>
                <w:sz w:val="22"/>
                <w:szCs w:val="22"/>
              </w:rPr>
              <w:t>《财政票据管理办法》第三十五条 财政票据或者《财政票据领购证》灭失的，财政票据使用单位应当查明原因，及时以书面形式报告原核发票据的财政部门，并自发现之日起3日内登报声明作废。</w:t>
            </w:r>
          </w:p>
        </w:tc>
        <w:tc>
          <w:tcPr>
            <w:tcW w:w="526" w:type="dxa"/>
            <w:noWrap/>
            <w:vAlign w:val="center"/>
          </w:tcPr>
          <w:p>
            <w:pPr>
              <w:widowControl/>
              <w:jc w:val="center"/>
              <w:rPr>
                <w:kern w:val="0"/>
                <w:sz w:val="22"/>
                <w:szCs w:val="22"/>
              </w:rPr>
            </w:pPr>
          </w:p>
        </w:tc>
        <w:tc>
          <w:tcPr>
            <w:tcW w:w="727" w:type="dxa"/>
            <w:noWrap/>
            <w:vAlign w:val="center"/>
          </w:tcPr>
          <w:p>
            <w:pPr>
              <w:widowControl/>
              <w:jc w:val="center"/>
              <w:rPr>
                <w:kern w:val="0"/>
                <w:sz w:val="22"/>
                <w:szCs w:val="22"/>
              </w:rPr>
            </w:pPr>
            <w:r>
              <w:rPr>
                <w:kern w:val="0"/>
                <w:sz w:val="22"/>
                <w:szCs w:val="22"/>
              </w:rPr>
              <w:t>√</w:t>
            </w:r>
          </w:p>
        </w:tc>
        <w:tc>
          <w:tcPr>
            <w:tcW w:w="727" w:type="dxa"/>
            <w:noWrap/>
            <w:vAlign w:val="center"/>
          </w:tcPr>
          <w:p>
            <w:pPr>
              <w:widowControl/>
              <w:jc w:val="center"/>
              <w:rPr>
                <w:kern w:val="0"/>
                <w:sz w:val="22"/>
                <w:szCs w:val="22"/>
              </w:rPr>
            </w:pPr>
          </w:p>
        </w:tc>
        <w:tc>
          <w:tcPr>
            <w:tcW w:w="950" w:type="dxa"/>
            <w:noWrap/>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338" w:hRule="atLeast"/>
          <w:jc w:val="center"/>
        </w:trPr>
        <w:tc>
          <w:tcPr>
            <w:tcW w:w="480" w:type="dxa"/>
            <w:vAlign w:val="center"/>
          </w:tcPr>
          <w:p>
            <w:pPr>
              <w:widowControl/>
              <w:jc w:val="center"/>
              <w:rPr>
                <w:kern w:val="0"/>
                <w:sz w:val="22"/>
                <w:szCs w:val="22"/>
              </w:rPr>
            </w:pPr>
            <w:r>
              <w:rPr>
                <w:kern w:val="0"/>
                <w:sz w:val="22"/>
                <w:szCs w:val="22"/>
              </w:rPr>
              <w:t>6</w:t>
            </w:r>
          </w:p>
        </w:tc>
        <w:tc>
          <w:tcPr>
            <w:tcW w:w="684" w:type="dxa"/>
            <w:vAlign w:val="center"/>
          </w:tcPr>
          <w:p>
            <w:pPr>
              <w:widowControl/>
              <w:jc w:val="center"/>
              <w:rPr>
                <w:kern w:val="0"/>
                <w:sz w:val="22"/>
                <w:szCs w:val="22"/>
              </w:rPr>
            </w:pPr>
            <w:r>
              <w:rPr>
                <w:kern w:val="0"/>
                <w:sz w:val="22"/>
                <w:szCs w:val="22"/>
              </w:rPr>
              <w:t>省财政厅</w:t>
            </w:r>
          </w:p>
        </w:tc>
        <w:tc>
          <w:tcPr>
            <w:tcW w:w="1726" w:type="dxa"/>
            <w:vAlign w:val="center"/>
          </w:tcPr>
          <w:p>
            <w:pPr>
              <w:widowControl/>
              <w:rPr>
                <w:kern w:val="0"/>
                <w:sz w:val="22"/>
                <w:szCs w:val="22"/>
              </w:rPr>
            </w:pPr>
            <w:r>
              <w:rPr>
                <w:kern w:val="0"/>
                <w:sz w:val="22"/>
                <w:szCs w:val="22"/>
              </w:rPr>
              <w:t>注册会计师证书遗失补办</w:t>
            </w:r>
          </w:p>
        </w:tc>
        <w:tc>
          <w:tcPr>
            <w:tcW w:w="1667" w:type="dxa"/>
            <w:vAlign w:val="center"/>
          </w:tcPr>
          <w:p>
            <w:pPr>
              <w:widowControl/>
              <w:rPr>
                <w:kern w:val="0"/>
                <w:sz w:val="22"/>
                <w:szCs w:val="22"/>
              </w:rPr>
            </w:pPr>
            <w:r>
              <w:rPr>
                <w:kern w:val="0"/>
                <w:sz w:val="22"/>
                <w:szCs w:val="22"/>
              </w:rPr>
              <w:t>在报纸刊登作废声明</w:t>
            </w:r>
          </w:p>
        </w:tc>
        <w:tc>
          <w:tcPr>
            <w:tcW w:w="4274" w:type="dxa"/>
            <w:vAlign w:val="center"/>
          </w:tcPr>
          <w:p>
            <w:pPr>
              <w:widowControl/>
              <w:rPr>
                <w:kern w:val="0"/>
                <w:sz w:val="22"/>
                <w:szCs w:val="22"/>
              </w:rPr>
            </w:pPr>
            <w:r>
              <w:rPr>
                <w:kern w:val="0"/>
                <w:sz w:val="22"/>
                <w:szCs w:val="22"/>
              </w:rPr>
              <w:t>《注册会计师证书和会计师事务所批准证书发放办法》第八条 证书遗失，应当报告主管的财政机关或当地注册会计师协会。于登报声明作废后，申请补发新证。</w:t>
            </w:r>
          </w:p>
        </w:tc>
        <w:tc>
          <w:tcPr>
            <w:tcW w:w="526" w:type="dxa"/>
            <w:vAlign w:val="center"/>
          </w:tcPr>
          <w:p>
            <w:pPr>
              <w:widowControl/>
              <w:jc w:val="center"/>
              <w:rPr>
                <w:kern w:val="0"/>
                <w:sz w:val="22"/>
                <w:szCs w:val="22"/>
              </w:rPr>
            </w:pPr>
            <w:r>
              <w:rPr>
                <w:kern w:val="0"/>
                <w:sz w:val="22"/>
                <w:szCs w:val="22"/>
              </w:rPr>
              <w:t>√</w:t>
            </w:r>
          </w:p>
        </w:tc>
        <w:tc>
          <w:tcPr>
            <w:tcW w:w="727" w:type="dxa"/>
            <w:vAlign w:val="center"/>
          </w:tcPr>
          <w:p>
            <w:pPr>
              <w:widowControl/>
              <w:jc w:val="center"/>
              <w:rPr>
                <w:kern w:val="0"/>
                <w:sz w:val="22"/>
                <w:szCs w:val="22"/>
              </w:rPr>
            </w:pPr>
          </w:p>
        </w:tc>
        <w:tc>
          <w:tcPr>
            <w:tcW w:w="727" w:type="dxa"/>
            <w:vAlign w:val="center"/>
          </w:tcPr>
          <w:p>
            <w:pPr>
              <w:widowControl/>
              <w:jc w:val="center"/>
              <w:rPr>
                <w:kern w:val="0"/>
                <w:sz w:val="22"/>
                <w:szCs w:val="22"/>
              </w:rPr>
            </w:pPr>
          </w:p>
        </w:tc>
        <w:tc>
          <w:tcPr>
            <w:tcW w:w="950" w:type="dxa"/>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030" w:hRule="atLeast"/>
          <w:jc w:val="center"/>
        </w:trPr>
        <w:tc>
          <w:tcPr>
            <w:tcW w:w="480" w:type="dxa"/>
            <w:vAlign w:val="center"/>
          </w:tcPr>
          <w:p>
            <w:pPr>
              <w:widowControl/>
              <w:jc w:val="center"/>
              <w:rPr>
                <w:kern w:val="0"/>
                <w:sz w:val="22"/>
                <w:szCs w:val="22"/>
              </w:rPr>
            </w:pPr>
            <w:r>
              <w:rPr>
                <w:kern w:val="0"/>
                <w:sz w:val="22"/>
                <w:szCs w:val="22"/>
              </w:rPr>
              <w:t>7</w:t>
            </w:r>
          </w:p>
        </w:tc>
        <w:tc>
          <w:tcPr>
            <w:tcW w:w="684" w:type="dxa"/>
            <w:vAlign w:val="center"/>
          </w:tcPr>
          <w:p>
            <w:pPr>
              <w:widowControl/>
              <w:jc w:val="center"/>
              <w:rPr>
                <w:color w:val="000000"/>
                <w:kern w:val="0"/>
                <w:sz w:val="22"/>
                <w:szCs w:val="22"/>
              </w:rPr>
            </w:pPr>
            <w:r>
              <w:rPr>
                <w:color w:val="000000"/>
                <w:kern w:val="0"/>
                <w:sz w:val="22"/>
                <w:szCs w:val="22"/>
              </w:rPr>
              <w:t>省人力社保厅</w:t>
            </w:r>
          </w:p>
        </w:tc>
        <w:tc>
          <w:tcPr>
            <w:tcW w:w="1726" w:type="dxa"/>
            <w:vAlign w:val="center"/>
          </w:tcPr>
          <w:p>
            <w:pPr>
              <w:widowControl/>
              <w:rPr>
                <w:kern w:val="0"/>
                <w:sz w:val="22"/>
                <w:szCs w:val="22"/>
              </w:rPr>
            </w:pPr>
            <w:r>
              <w:rPr>
                <w:kern w:val="0"/>
                <w:sz w:val="22"/>
                <w:szCs w:val="22"/>
              </w:rPr>
              <w:t>申请补发技能人员职业资格证书</w:t>
            </w:r>
          </w:p>
        </w:tc>
        <w:tc>
          <w:tcPr>
            <w:tcW w:w="1667" w:type="dxa"/>
            <w:vAlign w:val="center"/>
          </w:tcPr>
          <w:p>
            <w:pPr>
              <w:widowControl/>
              <w:rPr>
                <w:kern w:val="0"/>
                <w:sz w:val="22"/>
                <w:szCs w:val="22"/>
              </w:rPr>
            </w:pPr>
            <w:r>
              <w:rPr>
                <w:kern w:val="0"/>
                <w:sz w:val="22"/>
                <w:szCs w:val="22"/>
              </w:rPr>
              <w:t>在报纸刊登作废声明</w:t>
            </w:r>
          </w:p>
        </w:tc>
        <w:tc>
          <w:tcPr>
            <w:tcW w:w="4274" w:type="dxa"/>
            <w:vAlign w:val="center"/>
          </w:tcPr>
          <w:p>
            <w:pPr>
              <w:widowControl/>
              <w:rPr>
                <w:kern w:val="0"/>
                <w:sz w:val="22"/>
                <w:szCs w:val="22"/>
              </w:rPr>
            </w:pPr>
            <w:r>
              <w:rPr>
                <w:kern w:val="0"/>
                <w:sz w:val="22"/>
                <w:szCs w:val="22"/>
              </w:rPr>
              <w:t>无法定依据</w:t>
            </w:r>
          </w:p>
        </w:tc>
        <w:tc>
          <w:tcPr>
            <w:tcW w:w="526" w:type="dxa"/>
            <w:vAlign w:val="center"/>
          </w:tcPr>
          <w:p>
            <w:pPr>
              <w:widowControl/>
              <w:jc w:val="center"/>
              <w:rPr>
                <w:kern w:val="0"/>
                <w:sz w:val="22"/>
                <w:szCs w:val="22"/>
              </w:rPr>
            </w:pPr>
            <w:r>
              <w:rPr>
                <w:kern w:val="0"/>
                <w:sz w:val="22"/>
                <w:szCs w:val="22"/>
              </w:rPr>
              <w:br w:type="textWrapping"/>
            </w:r>
            <w:r>
              <w:rPr>
                <w:kern w:val="0"/>
                <w:sz w:val="22"/>
                <w:szCs w:val="22"/>
              </w:rPr>
              <w:t>√</w:t>
            </w:r>
          </w:p>
        </w:tc>
        <w:tc>
          <w:tcPr>
            <w:tcW w:w="727" w:type="dxa"/>
            <w:vAlign w:val="center"/>
          </w:tcPr>
          <w:p>
            <w:pPr>
              <w:widowControl/>
              <w:jc w:val="center"/>
              <w:rPr>
                <w:kern w:val="0"/>
                <w:sz w:val="22"/>
                <w:szCs w:val="22"/>
              </w:rPr>
            </w:pPr>
          </w:p>
        </w:tc>
        <w:tc>
          <w:tcPr>
            <w:tcW w:w="727" w:type="dxa"/>
            <w:vAlign w:val="center"/>
          </w:tcPr>
          <w:p>
            <w:pPr>
              <w:widowControl/>
              <w:jc w:val="center"/>
              <w:rPr>
                <w:kern w:val="0"/>
                <w:sz w:val="22"/>
                <w:szCs w:val="22"/>
              </w:rPr>
            </w:pPr>
          </w:p>
        </w:tc>
        <w:tc>
          <w:tcPr>
            <w:tcW w:w="950" w:type="dxa"/>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889" w:hRule="atLeast"/>
          <w:jc w:val="center"/>
        </w:trPr>
        <w:tc>
          <w:tcPr>
            <w:tcW w:w="480" w:type="dxa"/>
            <w:shd w:val="clear" w:color="000000" w:fill="FFFFFF"/>
            <w:vAlign w:val="center"/>
          </w:tcPr>
          <w:p>
            <w:pPr>
              <w:widowControl/>
              <w:jc w:val="center"/>
              <w:rPr>
                <w:kern w:val="0"/>
                <w:sz w:val="22"/>
                <w:szCs w:val="22"/>
              </w:rPr>
            </w:pPr>
            <w:r>
              <w:rPr>
                <w:kern w:val="0"/>
                <w:sz w:val="22"/>
                <w:szCs w:val="22"/>
              </w:rPr>
              <w:t>8</w:t>
            </w:r>
          </w:p>
        </w:tc>
        <w:tc>
          <w:tcPr>
            <w:tcW w:w="684" w:type="dxa"/>
            <w:shd w:val="clear" w:color="000000" w:fill="FFFFFF"/>
            <w:vAlign w:val="center"/>
          </w:tcPr>
          <w:p>
            <w:pPr>
              <w:widowControl/>
              <w:jc w:val="center"/>
              <w:rPr>
                <w:color w:val="000000"/>
                <w:kern w:val="0"/>
                <w:sz w:val="22"/>
                <w:szCs w:val="22"/>
              </w:rPr>
            </w:pPr>
            <w:r>
              <w:rPr>
                <w:color w:val="000000"/>
                <w:kern w:val="0"/>
                <w:sz w:val="22"/>
                <w:szCs w:val="22"/>
              </w:rPr>
              <w:t>省自然资源厅</w:t>
            </w:r>
          </w:p>
        </w:tc>
        <w:tc>
          <w:tcPr>
            <w:tcW w:w="1726" w:type="dxa"/>
            <w:shd w:val="clear" w:color="000000" w:fill="FFFFFF"/>
            <w:vAlign w:val="center"/>
          </w:tcPr>
          <w:p>
            <w:pPr>
              <w:widowControl/>
              <w:rPr>
                <w:color w:val="000000"/>
                <w:kern w:val="0"/>
                <w:sz w:val="22"/>
                <w:szCs w:val="22"/>
              </w:rPr>
            </w:pPr>
            <w:r>
              <w:rPr>
                <w:color w:val="000000"/>
                <w:kern w:val="0"/>
                <w:sz w:val="22"/>
                <w:szCs w:val="22"/>
              </w:rPr>
              <w:t>补发自然资源工程专业职称证书</w:t>
            </w:r>
          </w:p>
        </w:tc>
        <w:tc>
          <w:tcPr>
            <w:tcW w:w="1667" w:type="dxa"/>
            <w:shd w:val="clear" w:color="000000" w:fill="FFFFFF"/>
            <w:vAlign w:val="center"/>
          </w:tcPr>
          <w:p>
            <w:pPr>
              <w:widowControl/>
              <w:rPr>
                <w:color w:val="000000"/>
                <w:kern w:val="0"/>
                <w:sz w:val="22"/>
                <w:szCs w:val="22"/>
              </w:rPr>
            </w:pPr>
            <w:r>
              <w:rPr>
                <w:color w:val="000000"/>
                <w:kern w:val="0"/>
                <w:sz w:val="22"/>
                <w:szCs w:val="22"/>
              </w:rPr>
              <w:t>在报纸刊登作废声明</w:t>
            </w:r>
          </w:p>
        </w:tc>
        <w:tc>
          <w:tcPr>
            <w:tcW w:w="4274" w:type="dxa"/>
            <w:shd w:val="clear" w:color="000000" w:fill="FFFFFF"/>
            <w:vAlign w:val="center"/>
          </w:tcPr>
          <w:p>
            <w:pPr>
              <w:widowControl/>
              <w:rPr>
                <w:color w:val="000000"/>
                <w:kern w:val="0"/>
                <w:sz w:val="22"/>
                <w:szCs w:val="22"/>
              </w:rPr>
            </w:pPr>
            <w:r>
              <w:rPr>
                <w:color w:val="000000"/>
                <w:kern w:val="0"/>
                <w:sz w:val="22"/>
                <w:szCs w:val="22"/>
              </w:rPr>
              <w:t>原人事部办公厅《关于更换补发专业技术资格证书有关问题的通知》（人办发〔1997〕85号）第二条 个人丢失证书，当事人应及时向当地发证机关提交个人补发证书申请、单位证明、登报声明原证作废的原件，以及按人事部《关于资格考试工作中有关问题的通知》（人办发〔199</w:t>
            </w:r>
            <w:r>
              <w:rPr>
                <w:rFonts w:hint="eastAsia"/>
                <w:color w:val="000000"/>
                <w:kern w:val="0"/>
                <w:sz w:val="22"/>
                <w:szCs w:val="22"/>
              </w:rPr>
              <w:t>6</w:t>
            </w:r>
            <w:r>
              <w:rPr>
                <w:color w:val="000000"/>
                <w:kern w:val="0"/>
                <w:sz w:val="22"/>
                <w:szCs w:val="22"/>
              </w:rPr>
              <w:t>〕52号）要求归入个人档案的《资格考试合格人员登记表》等补发证书的依据。</w:t>
            </w:r>
          </w:p>
        </w:tc>
        <w:tc>
          <w:tcPr>
            <w:tcW w:w="526" w:type="dxa"/>
            <w:vAlign w:val="center"/>
          </w:tcPr>
          <w:p>
            <w:pPr>
              <w:widowControl/>
              <w:jc w:val="center"/>
              <w:rPr>
                <w:color w:val="000000"/>
                <w:kern w:val="0"/>
                <w:sz w:val="22"/>
                <w:szCs w:val="22"/>
              </w:rPr>
            </w:pPr>
          </w:p>
        </w:tc>
        <w:tc>
          <w:tcPr>
            <w:tcW w:w="727" w:type="dxa"/>
            <w:vAlign w:val="center"/>
          </w:tcPr>
          <w:p>
            <w:pPr>
              <w:widowControl/>
              <w:jc w:val="center"/>
              <w:rPr>
                <w:color w:val="000000"/>
                <w:kern w:val="0"/>
                <w:sz w:val="22"/>
                <w:szCs w:val="22"/>
              </w:rPr>
            </w:pPr>
            <w:r>
              <w:rPr>
                <w:color w:val="000000"/>
                <w:kern w:val="0"/>
                <w:sz w:val="22"/>
                <w:szCs w:val="22"/>
              </w:rPr>
              <w:t>√</w:t>
            </w:r>
          </w:p>
        </w:tc>
        <w:tc>
          <w:tcPr>
            <w:tcW w:w="727" w:type="dxa"/>
            <w:vAlign w:val="center"/>
          </w:tcPr>
          <w:p>
            <w:pPr>
              <w:widowControl/>
              <w:jc w:val="center"/>
              <w:rPr>
                <w:color w:val="000000"/>
                <w:kern w:val="0"/>
                <w:sz w:val="22"/>
                <w:szCs w:val="22"/>
              </w:rPr>
            </w:pPr>
          </w:p>
        </w:tc>
        <w:tc>
          <w:tcPr>
            <w:tcW w:w="950" w:type="dxa"/>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shd w:val="clear" w:color="auto" w:fill="auto"/>
            <w:vAlign w:val="center"/>
          </w:tcPr>
          <w:p>
            <w:pPr>
              <w:widowControl/>
              <w:jc w:val="center"/>
              <w:rPr>
                <w:kern w:val="0"/>
                <w:sz w:val="22"/>
                <w:szCs w:val="22"/>
              </w:rPr>
            </w:pPr>
            <w:r>
              <w:rPr>
                <w:kern w:val="0"/>
                <w:sz w:val="22"/>
                <w:szCs w:val="22"/>
              </w:rPr>
              <w:t>9</w:t>
            </w:r>
          </w:p>
        </w:tc>
        <w:tc>
          <w:tcPr>
            <w:tcW w:w="684" w:type="dxa"/>
            <w:shd w:val="clear" w:color="auto" w:fill="auto"/>
            <w:vAlign w:val="center"/>
          </w:tcPr>
          <w:p>
            <w:pPr>
              <w:widowControl/>
              <w:jc w:val="center"/>
              <w:rPr>
                <w:kern w:val="0"/>
                <w:sz w:val="22"/>
                <w:szCs w:val="22"/>
              </w:rPr>
            </w:pPr>
            <w:r>
              <w:rPr>
                <w:kern w:val="0"/>
                <w:sz w:val="22"/>
                <w:szCs w:val="22"/>
              </w:rPr>
              <w:t>省自然资源厅</w:t>
            </w:r>
          </w:p>
        </w:tc>
        <w:tc>
          <w:tcPr>
            <w:tcW w:w="1726" w:type="dxa"/>
            <w:shd w:val="clear" w:color="000000" w:fill="FFFFFF"/>
            <w:vAlign w:val="center"/>
          </w:tcPr>
          <w:p>
            <w:pPr>
              <w:widowControl/>
              <w:rPr>
                <w:kern w:val="0"/>
                <w:sz w:val="22"/>
                <w:szCs w:val="22"/>
              </w:rPr>
            </w:pPr>
            <w:r>
              <w:rPr>
                <w:kern w:val="0"/>
                <w:sz w:val="22"/>
                <w:szCs w:val="22"/>
              </w:rPr>
              <w:t>乙级、丙级、丁级测绘资质认定（许可-00553-000）</w:t>
            </w:r>
          </w:p>
        </w:tc>
        <w:tc>
          <w:tcPr>
            <w:tcW w:w="1667" w:type="dxa"/>
            <w:vAlign w:val="center"/>
          </w:tcPr>
          <w:p>
            <w:pPr>
              <w:widowControl/>
              <w:rPr>
                <w:kern w:val="0"/>
                <w:sz w:val="22"/>
                <w:szCs w:val="22"/>
              </w:rPr>
            </w:pPr>
            <w:r>
              <w:rPr>
                <w:kern w:val="0"/>
                <w:sz w:val="22"/>
                <w:szCs w:val="22"/>
              </w:rPr>
              <w:t>在公众媒体上刊登遗失声明</w:t>
            </w:r>
          </w:p>
        </w:tc>
        <w:tc>
          <w:tcPr>
            <w:tcW w:w="4274" w:type="dxa"/>
            <w:vAlign w:val="center"/>
          </w:tcPr>
          <w:p>
            <w:pPr>
              <w:widowControl/>
              <w:rPr>
                <w:kern w:val="0"/>
                <w:sz w:val="22"/>
                <w:szCs w:val="22"/>
              </w:rPr>
            </w:pPr>
            <w:r>
              <w:rPr>
                <w:kern w:val="0"/>
                <w:sz w:val="22"/>
                <w:szCs w:val="22"/>
              </w:rPr>
              <w:t>《测绘资质管理规定》（国测管发〔2014〕31号修订）第十九条第二款 测绘资质单位遗失测绘资质证书申请补领的，应当持在公众媒体上刊登的遗失声明原件、补领证书申请等材料到测绘资质审批机关办理补领手续。</w:t>
            </w:r>
          </w:p>
        </w:tc>
        <w:tc>
          <w:tcPr>
            <w:tcW w:w="526" w:type="dxa"/>
            <w:noWrap/>
            <w:vAlign w:val="center"/>
          </w:tcPr>
          <w:p>
            <w:pPr>
              <w:widowControl/>
              <w:jc w:val="center"/>
              <w:rPr>
                <w:color w:val="000000"/>
                <w:kern w:val="0"/>
                <w:sz w:val="22"/>
                <w:szCs w:val="22"/>
              </w:rPr>
            </w:pPr>
          </w:p>
        </w:tc>
        <w:tc>
          <w:tcPr>
            <w:tcW w:w="727" w:type="dxa"/>
            <w:vAlign w:val="center"/>
          </w:tcPr>
          <w:p>
            <w:pPr>
              <w:widowControl/>
              <w:jc w:val="center"/>
              <w:rPr>
                <w:color w:val="000000"/>
                <w:kern w:val="0"/>
                <w:sz w:val="22"/>
                <w:szCs w:val="22"/>
              </w:rPr>
            </w:pPr>
            <w:r>
              <w:rPr>
                <w:color w:val="000000"/>
                <w:kern w:val="0"/>
                <w:sz w:val="22"/>
                <w:szCs w:val="22"/>
              </w:rPr>
              <w:t>√</w:t>
            </w: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765" w:hRule="atLeast"/>
          <w:jc w:val="center"/>
        </w:trPr>
        <w:tc>
          <w:tcPr>
            <w:tcW w:w="480" w:type="dxa"/>
            <w:vAlign w:val="center"/>
          </w:tcPr>
          <w:p>
            <w:pPr>
              <w:widowControl/>
              <w:jc w:val="center"/>
              <w:rPr>
                <w:kern w:val="0"/>
                <w:sz w:val="22"/>
                <w:szCs w:val="22"/>
              </w:rPr>
            </w:pPr>
            <w:r>
              <w:rPr>
                <w:kern w:val="0"/>
                <w:sz w:val="22"/>
                <w:szCs w:val="22"/>
              </w:rPr>
              <w:t>10</w:t>
            </w:r>
          </w:p>
        </w:tc>
        <w:tc>
          <w:tcPr>
            <w:tcW w:w="684" w:type="dxa"/>
            <w:vAlign w:val="center"/>
          </w:tcPr>
          <w:p>
            <w:pPr>
              <w:widowControl/>
              <w:jc w:val="center"/>
              <w:rPr>
                <w:color w:val="000000"/>
                <w:kern w:val="0"/>
                <w:sz w:val="22"/>
                <w:szCs w:val="22"/>
              </w:rPr>
            </w:pPr>
            <w:r>
              <w:rPr>
                <w:color w:val="000000"/>
                <w:kern w:val="0"/>
                <w:sz w:val="22"/>
                <w:szCs w:val="22"/>
              </w:rPr>
              <w:t>省商务厅</w:t>
            </w:r>
          </w:p>
        </w:tc>
        <w:tc>
          <w:tcPr>
            <w:tcW w:w="1726" w:type="dxa"/>
            <w:vAlign w:val="center"/>
          </w:tcPr>
          <w:p>
            <w:pPr>
              <w:widowControl/>
              <w:rPr>
                <w:kern w:val="0"/>
                <w:sz w:val="22"/>
                <w:szCs w:val="22"/>
              </w:rPr>
            </w:pPr>
            <w:r>
              <w:rPr>
                <w:kern w:val="0"/>
                <w:sz w:val="22"/>
                <w:szCs w:val="22"/>
              </w:rPr>
              <w:t>对外劳务合作经营资格证书变更</w:t>
            </w:r>
          </w:p>
        </w:tc>
        <w:tc>
          <w:tcPr>
            <w:tcW w:w="1667" w:type="dxa"/>
            <w:vAlign w:val="center"/>
          </w:tcPr>
          <w:p>
            <w:pPr>
              <w:widowControl/>
              <w:rPr>
                <w:color w:val="000000"/>
                <w:kern w:val="0"/>
                <w:sz w:val="22"/>
                <w:szCs w:val="22"/>
              </w:rPr>
            </w:pPr>
            <w:r>
              <w:rPr>
                <w:color w:val="000000"/>
                <w:kern w:val="0"/>
                <w:sz w:val="22"/>
                <w:szCs w:val="22"/>
              </w:rPr>
              <w:t>在全国性报纸刊登遗失声明</w:t>
            </w:r>
          </w:p>
        </w:tc>
        <w:tc>
          <w:tcPr>
            <w:tcW w:w="4274" w:type="dxa"/>
            <w:vAlign w:val="center"/>
          </w:tcPr>
          <w:p>
            <w:pPr>
              <w:widowControl/>
              <w:rPr>
                <w:kern w:val="0"/>
                <w:sz w:val="22"/>
                <w:szCs w:val="22"/>
              </w:rPr>
            </w:pPr>
            <w:r>
              <w:rPr>
                <w:kern w:val="0"/>
                <w:sz w:val="22"/>
                <w:szCs w:val="22"/>
              </w:rPr>
              <w:t>无法定依据</w:t>
            </w:r>
          </w:p>
        </w:tc>
        <w:tc>
          <w:tcPr>
            <w:tcW w:w="526" w:type="dxa"/>
            <w:vAlign w:val="center"/>
          </w:tcPr>
          <w:p>
            <w:pPr>
              <w:widowControl/>
              <w:jc w:val="center"/>
              <w:rPr>
                <w:color w:val="000000"/>
                <w:kern w:val="0"/>
                <w:sz w:val="22"/>
                <w:szCs w:val="22"/>
              </w:rPr>
            </w:pPr>
            <w:r>
              <w:rPr>
                <w:color w:val="000000"/>
                <w:kern w:val="0"/>
                <w:sz w:val="22"/>
                <w:szCs w:val="22"/>
              </w:rPr>
              <w:t>√</w:t>
            </w:r>
          </w:p>
        </w:tc>
        <w:tc>
          <w:tcPr>
            <w:tcW w:w="727" w:type="dxa"/>
            <w:noWrap/>
            <w:vAlign w:val="center"/>
          </w:tcPr>
          <w:p>
            <w:pPr>
              <w:widowControl/>
              <w:jc w:val="center"/>
              <w:rPr>
                <w:color w:val="000000"/>
                <w:kern w:val="0"/>
                <w:sz w:val="22"/>
                <w:szCs w:val="22"/>
              </w:rPr>
            </w:pP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087" w:hRule="atLeast"/>
          <w:jc w:val="center"/>
        </w:trPr>
        <w:tc>
          <w:tcPr>
            <w:tcW w:w="480" w:type="dxa"/>
            <w:shd w:val="clear" w:color="000000" w:fill="FFFFFF"/>
            <w:vAlign w:val="center"/>
          </w:tcPr>
          <w:p>
            <w:pPr>
              <w:widowControl/>
              <w:jc w:val="center"/>
              <w:rPr>
                <w:kern w:val="0"/>
                <w:sz w:val="22"/>
                <w:szCs w:val="22"/>
              </w:rPr>
            </w:pPr>
            <w:r>
              <w:rPr>
                <w:kern w:val="0"/>
                <w:sz w:val="22"/>
                <w:szCs w:val="22"/>
              </w:rPr>
              <w:t>11</w:t>
            </w:r>
          </w:p>
        </w:tc>
        <w:tc>
          <w:tcPr>
            <w:tcW w:w="684" w:type="dxa"/>
            <w:shd w:val="clear" w:color="000000" w:fill="FFFFFF"/>
            <w:vAlign w:val="center"/>
          </w:tcPr>
          <w:p>
            <w:pPr>
              <w:widowControl/>
              <w:jc w:val="center"/>
              <w:rPr>
                <w:color w:val="000000"/>
                <w:kern w:val="0"/>
                <w:sz w:val="22"/>
                <w:szCs w:val="22"/>
              </w:rPr>
            </w:pPr>
            <w:r>
              <w:rPr>
                <w:color w:val="000000"/>
                <w:kern w:val="0"/>
                <w:sz w:val="22"/>
                <w:szCs w:val="22"/>
              </w:rPr>
              <w:t>省商务厅</w:t>
            </w:r>
          </w:p>
        </w:tc>
        <w:tc>
          <w:tcPr>
            <w:tcW w:w="1726" w:type="dxa"/>
            <w:shd w:val="clear" w:color="000000" w:fill="FFFFFF"/>
            <w:vAlign w:val="center"/>
          </w:tcPr>
          <w:p>
            <w:pPr>
              <w:widowControl/>
              <w:rPr>
                <w:kern w:val="0"/>
                <w:sz w:val="22"/>
                <w:szCs w:val="22"/>
              </w:rPr>
            </w:pPr>
            <w:r>
              <w:rPr>
                <w:kern w:val="0"/>
                <w:sz w:val="22"/>
                <w:szCs w:val="22"/>
              </w:rPr>
              <w:t>拍卖及分支机构设立、变更审批</w:t>
            </w:r>
          </w:p>
        </w:tc>
        <w:tc>
          <w:tcPr>
            <w:tcW w:w="1667" w:type="dxa"/>
            <w:shd w:val="clear" w:color="000000" w:fill="FFFFFF"/>
            <w:vAlign w:val="center"/>
          </w:tcPr>
          <w:p>
            <w:pPr>
              <w:widowControl/>
              <w:rPr>
                <w:color w:val="000000"/>
                <w:kern w:val="0"/>
                <w:sz w:val="22"/>
                <w:szCs w:val="22"/>
              </w:rPr>
            </w:pPr>
            <w:r>
              <w:rPr>
                <w:color w:val="000000"/>
                <w:kern w:val="0"/>
                <w:sz w:val="22"/>
                <w:szCs w:val="22"/>
              </w:rPr>
              <w:t>在指定报纸媒体刊登作废声明</w:t>
            </w:r>
          </w:p>
        </w:tc>
        <w:tc>
          <w:tcPr>
            <w:tcW w:w="4274" w:type="dxa"/>
            <w:shd w:val="clear" w:color="000000" w:fill="FFFFFF"/>
            <w:vAlign w:val="center"/>
          </w:tcPr>
          <w:p>
            <w:pPr>
              <w:widowControl/>
              <w:rPr>
                <w:color w:val="000000"/>
                <w:kern w:val="0"/>
                <w:sz w:val="22"/>
                <w:szCs w:val="22"/>
              </w:rPr>
            </w:pPr>
            <w:r>
              <w:rPr>
                <w:color w:val="000000"/>
                <w:kern w:val="0"/>
                <w:sz w:val="22"/>
                <w:szCs w:val="22"/>
              </w:rPr>
              <w:t>参照《公司登记管理条例》第五十九条 营业执照遗失或者毁坏的，公司应当在公司登记机关指定的报刊上声明作废，申请补领。</w:t>
            </w:r>
          </w:p>
        </w:tc>
        <w:tc>
          <w:tcPr>
            <w:tcW w:w="526" w:type="dxa"/>
            <w:vAlign w:val="center"/>
          </w:tcPr>
          <w:p>
            <w:pPr>
              <w:widowControl/>
              <w:jc w:val="center"/>
              <w:rPr>
                <w:color w:val="000000"/>
                <w:kern w:val="0"/>
                <w:sz w:val="22"/>
                <w:szCs w:val="22"/>
              </w:rPr>
            </w:pPr>
          </w:p>
        </w:tc>
        <w:tc>
          <w:tcPr>
            <w:tcW w:w="727" w:type="dxa"/>
            <w:vAlign w:val="center"/>
          </w:tcPr>
          <w:p>
            <w:pPr>
              <w:widowControl/>
              <w:jc w:val="center"/>
              <w:rPr>
                <w:color w:val="000000"/>
                <w:kern w:val="0"/>
                <w:sz w:val="22"/>
                <w:szCs w:val="22"/>
              </w:rPr>
            </w:pPr>
            <w:r>
              <w:rPr>
                <w:color w:val="000000"/>
                <w:kern w:val="0"/>
                <w:sz w:val="22"/>
                <w:szCs w:val="22"/>
              </w:rPr>
              <w:t>√</w:t>
            </w: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470" w:hRule="atLeast"/>
          <w:jc w:val="center"/>
        </w:trPr>
        <w:tc>
          <w:tcPr>
            <w:tcW w:w="480" w:type="dxa"/>
            <w:shd w:val="clear" w:color="auto" w:fill="auto"/>
            <w:vAlign w:val="center"/>
          </w:tcPr>
          <w:p>
            <w:pPr>
              <w:widowControl/>
              <w:jc w:val="center"/>
              <w:rPr>
                <w:kern w:val="0"/>
                <w:sz w:val="22"/>
                <w:szCs w:val="22"/>
              </w:rPr>
            </w:pPr>
            <w:r>
              <w:rPr>
                <w:kern w:val="0"/>
                <w:sz w:val="22"/>
                <w:szCs w:val="22"/>
              </w:rPr>
              <w:t>12</w:t>
            </w:r>
          </w:p>
        </w:tc>
        <w:tc>
          <w:tcPr>
            <w:tcW w:w="684" w:type="dxa"/>
            <w:shd w:val="clear" w:color="auto" w:fill="auto"/>
            <w:vAlign w:val="center"/>
          </w:tcPr>
          <w:p>
            <w:pPr>
              <w:widowControl/>
              <w:jc w:val="center"/>
              <w:rPr>
                <w:color w:val="000000"/>
                <w:kern w:val="0"/>
                <w:sz w:val="22"/>
                <w:szCs w:val="22"/>
              </w:rPr>
            </w:pPr>
            <w:r>
              <w:rPr>
                <w:color w:val="000000"/>
                <w:kern w:val="0"/>
                <w:sz w:val="22"/>
                <w:szCs w:val="22"/>
              </w:rPr>
              <w:t>省商务厅</w:t>
            </w:r>
          </w:p>
        </w:tc>
        <w:tc>
          <w:tcPr>
            <w:tcW w:w="1726" w:type="dxa"/>
            <w:shd w:val="clear" w:color="auto" w:fill="auto"/>
            <w:vAlign w:val="center"/>
          </w:tcPr>
          <w:p>
            <w:pPr>
              <w:widowControl/>
              <w:rPr>
                <w:kern w:val="0"/>
                <w:sz w:val="22"/>
                <w:szCs w:val="22"/>
              </w:rPr>
            </w:pPr>
            <w:r>
              <w:rPr>
                <w:kern w:val="0"/>
                <w:sz w:val="22"/>
                <w:szCs w:val="22"/>
              </w:rPr>
              <w:t>《对外贸易经营者备案登记表》遗失或损坏补领</w:t>
            </w:r>
          </w:p>
        </w:tc>
        <w:tc>
          <w:tcPr>
            <w:tcW w:w="1667" w:type="dxa"/>
            <w:shd w:val="clear" w:color="auto" w:fill="auto"/>
            <w:vAlign w:val="center"/>
          </w:tcPr>
          <w:p>
            <w:pPr>
              <w:widowControl/>
              <w:rPr>
                <w:color w:val="000000"/>
                <w:kern w:val="0"/>
                <w:sz w:val="22"/>
                <w:szCs w:val="22"/>
              </w:rPr>
            </w:pPr>
            <w:r>
              <w:rPr>
                <w:color w:val="000000"/>
                <w:kern w:val="0"/>
                <w:sz w:val="22"/>
                <w:szCs w:val="22"/>
              </w:rPr>
              <w:t>在指定报纸刊登作废声明</w:t>
            </w:r>
          </w:p>
        </w:tc>
        <w:tc>
          <w:tcPr>
            <w:tcW w:w="4274" w:type="dxa"/>
            <w:shd w:val="clear" w:color="000000" w:fill="FFFFFF"/>
            <w:vAlign w:val="center"/>
          </w:tcPr>
          <w:p>
            <w:pPr>
              <w:widowControl/>
              <w:rPr>
                <w:kern w:val="0"/>
                <w:sz w:val="22"/>
                <w:szCs w:val="22"/>
              </w:rPr>
            </w:pPr>
            <w:r>
              <w:rPr>
                <w:kern w:val="0"/>
                <w:sz w:val="22"/>
                <w:szCs w:val="22"/>
              </w:rPr>
              <w:t>《商务部关于进一步优化对外贸易经营者备案登记工作的通知》（商贸函</w:t>
            </w:r>
            <w:r>
              <w:rPr>
                <w:rFonts w:hint="eastAsia"/>
                <w:kern w:val="0"/>
                <w:sz w:val="22"/>
                <w:szCs w:val="22"/>
              </w:rPr>
              <w:t>〔</w:t>
            </w:r>
            <w:r>
              <w:rPr>
                <w:kern w:val="0"/>
                <w:sz w:val="22"/>
                <w:szCs w:val="22"/>
              </w:rPr>
              <w:t>2019</w:t>
            </w:r>
            <w:r>
              <w:rPr>
                <w:rFonts w:hint="eastAsia"/>
                <w:kern w:val="0"/>
                <w:sz w:val="22"/>
                <w:szCs w:val="22"/>
              </w:rPr>
              <w:t>〕</w:t>
            </w:r>
            <w:r>
              <w:rPr>
                <w:kern w:val="0"/>
                <w:sz w:val="22"/>
                <w:szCs w:val="22"/>
              </w:rPr>
              <w:t>72号）第二条 完善《对外贸易经营者备案登记表》遗失或损坏补办手续。《对外贸易经营者备案登记表》遗失或损坏，申请人需补领的，各备案登记机关不再指定报刊声明作废。企业按照自负其责的原则，向原备案登记机关提交遗失或损坏补领书面申请。</w:t>
            </w:r>
          </w:p>
        </w:tc>
        <w:tc>
          <w:tcPr>
            <w:tcW w:w="526" w:type="dxa"/>
            <w:vAlign w:val="center"/>
          </w:tcPr>
          <w:p>
            <w:pPr>
              <w:widowControl/>
              <w:jc w:val="center"/>
              <w:rPr>
                <w:color w:val="000000"/>
                <w:kern w:val="0"/>
                <w:sz w:val="22"/>
                <w:szCs w:val="22"/>
              </w:rPr>
            </w:pPr>
            <w:r>
              <w:rPr>
                <w:color w:val="000000"/>
                <w:kern w:val="0"/>
                <w:sz w:val="22"/>
                <w:szCs w:val="22"/>
              </w:rPr>
              <w:t>√</w:t>
            </w:r>
          </w:p>
        </w:tc>
        <w:tc>
          <w:tcPr>
            <w:tcW w:w="727" w:type="dxa"/>
            <w:noWrap/>
            <w:vAlign w:val="center"/>
          </w:tcPr>
          <w:p>
            <w:pPr>
              <w:widowControl/>
              <w:jc w:val="center"/>
              <w:rPr>
                <w:color w:val="000000"/>
                <w:kern w:val="0"/>
                <w:sz w:val="22"/>
                <w:szCs w:val="22"/>
              </w:rPr>
            </w:pP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shd w:val="clear" w:color="auto" w:fill="auto"/>
            <w:vAlign w:val="center"/>
          </w:tcPr>
          <w:p>
            <w:pPr>
              <w:widowControl/>
              <w:jc w:val="center"/>
              <w:rPr>
                <w:kern w:val="0"/>
                <w:sz w:val="22"/>
                <w:szCs w:val="22"/>
              </w:rPr>
            </w:pPr>
            <w:r>
              <w:rPr>
                <w:kern w:val="0"/>
                <w:sz w:val="22"/>
                <w:szCs w:val="22"/>
              </w:rPr>
              <w:t>13</w:t>
            </w:r>
          </w:p>
        </w:tc>
        <w:tc>
          <w:tcPr>
            <w:tcW w:w="684" w:type="dxa"/>
            <w:shd w:val="clear" w:color="000000" w:fill="FFFFFF"/>
            <w:vAlign w:val="center"/>
          </w:tcPr>
          <w:p>
            <w:pPr>
              <w:widowControl/>
              <w:jc w:val="center"/>
              <w:rPr>
                <w:kern w:val="0"/>
                <w:sz w:val="22"/>
                <w:szCs w:val="22"/>
              </w:rPr>
            </w:pPr>
            <w:r>
              <w:rPr>
                <w:kern w:val="0"/>
                <w:sz w:val="22"/>
                <w:szCs w:val="22"/>
              </w:rPr>
              <w:t>省应急管理厅</w:t>
            </w:r>
          </w:p>
        </w:tc>
        <w:tc>
          <w:tcPr>
            <w:tcW w:w="1726" w:type="dxa"/>
            <w:shd w:val="clear" w:color="000000" w:fill="FFFFFF"/>
            <w:vAlign w:val="center"/>
          </w:tcPr>
          <w:p>
            <w:pPr>
              <w:widowControl/>
              <w:rPr>
                <w:kern w:val="0"/>
                <w:sz w:val="22"/>
                <w:szCs w:val="22"/>
              </w:rPr>
            </w:pPr>
            <w:r>
              <w:rPr>
                <w:kern w:val="0"/>
                <w:sz w:val="22"/>
                <w:szCs w:val="22"/>
              </w:rPr>
              <w:t>危险化学品安全生产许可证遗失补办、注销</w:t>
            </w:r>
          </w:p>
        </w:tc>
        <w:tc>
          <w:tcPr>
            <w:tcW w:w="1667" w:type="dxa"/>
            <w:shd w:val="clear" w:color="000000" w:fill="FFFFFF"/>
            <w:vAlign w:val="center"/>
          </w:tcPr>
          <w:p>
            <w:pPr>
              <w:widowControl/>
              <w:rPr>
                <w:kern w:val="0"/>
                <w:sz w:val="22"/>
                <w:szCs w:val="22"/>
              </w:rPr>
            </w:pPr>
            <w:r>
              <w:rPr>
                <w:kern w:val="0"/>
                <w:sz w:val="22"/>
                <w:szCs w:val="22"/>
              </w:rPr>
              <w:t>在省级以上报纸刊登遗失声明</w:t>
            </w:r>
          </w:p>
        </w:tc>
        <w:tc>
          <w:tcPr>
            <w:tcW w:w="4274" w:type="dxa"/>
            <w:shd w:val="clear" w:color="000000" w:fill="FFFFFF"/>
            <w:vAlign w:val="center"/>
          </w:tcPr>
          <w:p>
            <w:pPr>
              <w:widowControl/>
              <w:rPr>
                <w:kern w:val="0"/>
                <w:sz w:val="22"/>
                <w:szCs w:val="22"/>
              </w:rPr>
            </w:pPr>
            <w:r>
              <w:rPr>
                <w:kern w:val="0"/>
                <w:sz w:val="22"/>
                <w:szCs w:val="22"/>
              </w:rPr>
              <w:t>无法定依据</w:t>
            </w:r>
          </w:p>
        </w:tc>
        <w:tc>
          <w:tcPr>
            <w:tcW w:w="526" w:type="dxa"/>
            <w:noWrap/>
            <w:vAlign w:val="center"/>
          </w:tcPr>
          <w:p>
            <w:pPr>
              <w:widowControl/>
              <w:jc w:val="center"/>
              <w:rPr>
                <w:kern w:val="0"/>
                <w:sz w:val="22"/>
                <w:szCs w:val="22"/>
              </w:rPr>
            </w:pPr>
            <w:r>
              <w:rPr>
                <w:kern w:val="0"/>
                <w:sz w:val="22"/>
                <w:szCs w:val="22"/>
              </w:rPr>
              <w:t>√</w:t>
            </w:r>
          </w:p>
        </w:tc>
        <w:tc>
          <w:tcPr>
            <w:tcW w:w="727" w:type="dxa"/>
            <w:vAlign w:val="center"/>
          </w:tcPr>
          <w:p>
            <w:pPr>
              <w:widowControl/>
              <w:jc w:val="center"/>
              <w:rPr>
                <w:kern w:val="0"/>
                <w:sz w:val="22"/>
                <w:szCs w:val="22"/>
              </w:rPr>
            </w:pPr>
          </w:p>
        </w:tc>
        <w:tc>
          <w:tcPr>
            <w:tcW w:w="727" w:type="dxa"/>
            <w:noWrap/>
            <w:vAlign w:val="center"/>
          </w:tcPr>
          <w:p>
            <w:pPr>
              <w:widowControl/>
              <w:jc w:val="center"/>
              <w:rPr>
                <w:kern w:val="0"/>
                <w:sz w:val="22"/>
                <w:szCs w:val="22"/>
              </w:rPr>
            </w:pPr>
          </w:p>
        </w:tc>
        <w:tc>
          <w:tcPr>
            <w:tcW w:w="950" w:type="dxa"/>
            <w:noWrap/>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vAlign w:val="center"/>
          </w:tcPr>
          <w:p>
            <w:pPr>
              <w:widowControl/>
              <w:jc w:val="center"/>
              <w:rPr>
                <w:kern w:val="0"/>
                <w:sz w:val="22"/>
                <w:szCs w:val="22"/>
              </w:rPr>
            </w:pPr>
            <w:r>
              <w:rPr>
                <w:kern w:val="0"/>
                <w:sz w:val="22"/>
                <w:szCs w:val="22"/>
              </w:rPr>
              <w:t>14</w:t>
            </w:r>
          </w:p>
        </w:tc>
        <w:tc>
          <w:tcPr>
            <w:tcW w:w="684" w:type="dxa"/>
            <w:vAlign w:val="center"/>
          </w:tcPr>
          <w:p>
            <w:pPr>
              <w:widowControl/>
              <w:jc w:val="center"/>
              <w:rPr>
                <w:color w:val="000000"/>
                <w:kern w:val="0"/>
                <w:sz w:val="22"/>
                <w:szCs w:val="22"/>
              </w:rPr>
            </w:pPr>
            <w:r>
              <w:rPr>
                <w:color w:val="000000"/>
                <w:kern w:val="0"/>
                <w:sz w:val="22"/>
                <w:szCs w:val="22"/>
              </w:rPr>
              <w:t>省市场监管局</w:t>
            </w:r>
          </w:p>
        </w:tc>
        <w:tc>
          <w:tcPr>
            <w:tcW w:w="1726" w:type="dxa"/>
            <w:vAlign w:val="center"/>
          </w:tcPr>
          <w:p>
            <w:pPr>
              <w:widowControl/>
              <w:rPr>
                <w:rFonts w:hint="eastAsia"/>
                <w:kern w:val="0"/>
                <w:sz w:val="22"/>
                <w:szCs w:val="22"/>
              </w:rPr>
            </w:pPr>
            <w:r>
              <w:rPr>
                <w:kern w:val="0"/>
                <w:sz w:val="22"/>
                <w:szCs w:val="22"/>
              </w:rPr>
              <w:t>食品经营许可补办（许可-00490-0</w:t>
            </w:r>
          </w:p>
          <w:p>
            <w:pPr>
              <w:widowControl/>
              <w:rPr>
                <w:kern w:val="0"/>
                <w:sz w:val="22"/>
                <w:szCs w:val="22"/>
              </w:rPr>
            </w:pPr>
            <w:r>
              <w:rPr>
                <w:kern w:val="0"/>
                <w:sz w:val="22"/>
                <w:szCs w:val="22"/>
              </w:rPr>
              <w:t>06）</w:t>
            </w:r>
          </w:p>
        </w:tc>
        <w:tc>
          <w:tcPr>
            <w:tcW w:w="1667" w:type="dxa"/>
            <w:vAlign w:val="center"/>
          </w:tcPr>
          <w:p>
            <w:pPr>
              <w:widowControl/>
              <w:rPr>
                <w:kern w:val="0"/>
                <w:sz w:val="22"/>
                <w:szCs w:val="22"/>
              </w:rPr>
            </w:pPr>
            <w:r>
              <w:rPr>
                <w:kern w:val="0"/>
                <w:sz w:val="22"/>
                <w:szCs w:val="22"/>
              </w:rPr>
              <w:t>在县级以上地方食品药品监管部门网站或县以上主要媒体刊登遗失声明</w:t>
            </w:r>
          </w:p>
        </w:tc>
        <w:tc>
          <w:tcPr>
            <w:tcW w:w="4274" w:type="dxa"/>
            <w:vAlign w:val="center"/>
          </w:tcPr>
          <w:p>
            <w:pPr>
              <w:widowControl/>
              <w:rPr>
                <w:kern w:val="0"/>
                <w:sz w:val="22"/>
                <w:szCs w:val="22"/>
              </w:rPr>
            </w:pPr>
            <w:r>
              <w:rPr>
                <w:kern w:val="0"/>
                <w:sz w:val="22"/>
                <w:szCs w:val="22"/>
              </w:rPr>
              <w:t>《食品经营许可管理办法》第三十五条第二款 食品经营许可证遗失的，申请人应当提交在县级以上地方食品药品监督管理部门网站或者其他县级以上主要媒体上刊登遗失公告的材料。</w:t>
            </w:r>
          </w:p>
        </w:tc>
        <w:tc>
          <w:tcPr>
            <w:tcW w:w="526" w:type="dxa"/>
            <w:vAlign w:val="center"/>
          </w:tcPr>
          <w:p>
            <w:pPr>
              <w:widowControl/>
              <w:jc w:val="center"/>
              <w:rPr>
                <w:kern w:val="0"/>
                <w:sz w:val="22"/>
                <w:szCs w:val="22"/>
              </w:rPr>
            </w:pPr>
          </w:p>
        </w:tc>
        <w:tc>
          <w:tcPr>
            <w:tcW w:w="727" w:type="dxa"/>
            <w:vAlign w:val="center"/>
          </w:tcPr>
          <w:p>
            <w:pPr>
              <w:widowControl/>
              <w:jc w:val="center"/>
              <w:rPr>
                <w:kern w:val="0"/>
                <w:sz w:val="22"/>
                <w:szCs w:val="22"/>
              </w:rPr>
            </w:pPr>
            <w:r>
              <w:rPr>
                <w:kern w:val="0"/>
                <w:sz w:val="22"/>
                <w:szCs w:val="22"/>
              </w:rPr>
              <w:t>√</w:t>
            </w:r>
          </w:p>
        </w:tc>
        <w:tc>
          <w:tcPr>
            <w:tcW w:w="727" w:type="dxa"/>
            <w:vAlign w:val="center"/>
          </w:tcPr>
          <w:p>
            <w:pPr>
              <w:widowControl/>
              <w:jc w:val="center"/>
              <w:rPr>
                <w:kern w:val="0"/>
                <w:sz w:val="22"/>
                <w:szCs w:val="22"/>
              </w:rPr>
            </w:pPr>
          </w:p>
        </w:tc>
        <w:tc>
          <w:tcPr>
            <w:tcW w:w="950" w:type="dxa"/>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3812" w:hRule="atLeast"/>
          <w:jc w:val="center"/>
        </w:trPr>
        <w:tc>
          <w:tcPr>
            <w:tcW w:w="480" w:type="dxa"/>
            <w:vAlign w:val="center"/>
          </w:tcPr>
          <w:p>
            <w:pPr>
              <w:widowControl/>
              <w:jc w:val="center"/>
              <w:rPr>
                <w:kern w:val="0"/>
                <w:sz w:val="22"/>
                <w:szCs w:val="22"/>
              </w:rPr>
            </w:pPr>
            <w:r>
              <w:rPr>
                <w:kern w:val="0"/>
                <w:sz w:val="22"/>
                <w:szCs w:val="22"/>
              </w:rPr>
              <w:t>15</w:t>
            </w:r>
          </w:p>
        </w:tc>
        <w:tc>
          <w:tcPr>
            <w:tcW w:w="684" w:type="dxa"/>
            <w:vAlign w:val="center"/>
          </w:tcPr>
          <w:p>
            <w:pPr>
              <w:widowControl/>
              <w:jc w:val="center"/>
              <w:rPr>
                <w:color w:val="000000"/>
                <w:kern w:val="0"/>
                <w:sz w:val="22"/>
                <w:szCs w:val="22"/>
              </w:rPr>
            </w:pPr>
            <w:r>
              <w:rPr>
                <w:color w:val="000000"/>
                <w:kern w:val="0"/>
                <w:sz w:val="22"/>
                <w:szCs w:val="22"/>
              </w:rPr>
              <w:t>省文物局</w:t>
            </w:r>
          </w:p>
        </w:tc>
        <w:tc>
          <w:tcPr>
            <w:tcW w:w="1726" w:type="dxa"/>
            <w:vAlign w:val="center"/>
          </w:tcPr>
          <w:p>
            <w:pPr>
              <w:widowControl/>
              <w:rPr>
                <w:kern w:val="0"/>
                <w:sz w:val="22"/>
                <w:szCs w:val="22"/>
              </w:rPr>
            </w:pPr>
            <w:r>
              <w:rPr>
                <w:kern w:val="0"/>
                <w:sz w:val="22"/>
                <w:szCs w:val="22"/>
              </w:rPr>
              <w:t>文物保护工程乙、二级以下（含乙、二级）资质证书遗失补办（许可-00536-000）</w:t>
            </w:r>
          </w:p>
        </w:tc>
        <w:tc>
          <w:tcPr>
            <w:tcW w:w="1667" w:type="dxa"/>
            <w:vAlign w:val="center"/>
          </w:tcPr>
          <w:p>
            <w:pPr>
              <w:widowControl/>
              <w:rPr>
                <w:kern w:val="0"/>
                <w:sz w:val="22"/>
                <w:szCs w:val="22"/>
              </w:rPr>
            </w:pPr>
            <w:r>
              <w:rPr>
                <w:kern w:val="0"/>
                <w:sz w:val="22"/>
                <w:szCs w:val="22"/>
              </w:rPr>
              <w:t>在媒体上刊登作废声明</w:t>
            </w:r>
          </w:p>
        </w:tc>
        <w:tc>
          <w:tcPr>
            <w:tcW w:w="4274" w:type="dxa"/>
            <w:vAlign w:val="center"/>
          </w:tcPr>
          <w:p>
            <w:pPr>
              <w:widowControl/>
              <w:rPr>
                <w:spacing w:val="-2"/>
                <w:kern w:val="0"/>
                <w:sz w:val="22"/>
                <w:szCs w:val="22"/>
              </w:rPr>
            </w:pPr>
            <w:r>
              <w:rPr>
                <w:spacing w:val="-2"/>
                <w:kern w:val="0"/>
                <w:sz w:val="22"/>
                <w:szCs w:val="22"/>
              </w:rPr>
              <w:t>1.《文物保护工程勘察设计资质管理办法（试行）》第三十三条 文物保护工程勘察设计资质证书遗失的，应当于三十日内在媒体上声明作废，并向文物保护工程资质证书发证机关申请补发证书。2.《文物保护工程施工资质管理办法（试行）》第三十六条　文物保护工程施工资质证书遗失的，应当于三十日内在媒体上声明作废，并向文物保护工程资质证书发证机关申请补发证书。3.《文物保护工程监理资质管理办法（试行）》第三十四条  文物保护工程监理资质证书遗失的，应当于三十日内在媒体上声明作废，并向文物保护工程资质证书发证机关申请补发证书。</w:t>
            </w:r>
          </w:p>
        </w:tc>
        <w:tc>
          <w:tcPr>
            <w:tcW w:w="526" w:type="dxa"/>
            <w:vAlign w:val="center"/>
          </w:tcPr>
          <w:p>
            <w:pPr>
              <w:widowControl/>
              <w:jc w:val="center"/>
              <w:rPr>
                <w:kern w:val="0"/>
                <w:sz w:val="22"/>
                <w:szCs w:val="22"/>
              </w:rPr>
            </w:pPr>
          </w:p>
        </w:tc>
        <w:tc>
          <w:tcPr>
            <w:tcW w:w="727" w:type="dxa"/>
            <w:vAlign w:val="center"/>
          </w:tcPr>
          <w:p>
            <w:pPr>
              <w:widowControl/>
              <w:jc w:val="center"/>
              <w:rPr>
                <w:kern w:val="0"/>
                <w:sz w:val="22"/>
                <w:szCs w:val="22"/>
              </w:rPr>
            </w:pPr>
            <w:r>
              <w:rPr>
                <w:kern w:val="0"/>
                <w:sz w:val="22"/>
                <w:szCs w:val="22"/>
              </w:rPr>
              <w:t>√</w:t>
            </w:r>
          </w:p>
        </w:tc>
        <w:tc>
          <w:tcPr>
            <w:tcW w:w="727" w:type="dxa"/>
            <w:vAlign w:val="center"/>
          </w:tcPr>
          <w:p>
            <w:pPr>
              <w:widowControl/>
              <w:jc w:val="center"/>
              <w:rPr>
                <w:kern w:val="0"/>
                <w:sz w:val="22"/>
                <w:szCs w:val="22"/>
              </w:rPr>
            </w:pPr>
          </w:p>
        </w:tc>
        <w:tc>
          <w:tcPr>
            <w:tcW w:w="950" w:type="dxa"/>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shd w:val="clear" w:color="000000" w:fill="FFFFFF"/>
            <w:vAlign w:val="center"/>
          </w:tcPr>
          <w:p>
            <w:pPr>
              <w:widowControl/>
              <w:jc w:val="center"/>
              <w:rPr>
                <w:kern w:val="0"/>
                <w:sz w:val="22"/>
                <w:szCs w:val="22"/>
              </w:rPr>
            </w:pPr>
            <w:r>
              <w:rPr>
                <w:kern w:val="0"/>
                <w:sz w:val="22"/>
                <w:szCs w:val="22"/>
              </w:rPr>
              <w:t>16</w:t>
            </w:r>
          </w:p>
        </w:tc>
        <w:tc>
          <w:tcPr>
            <w:tcW w:w="684" w:type="dxa"/>
            <w:shd w:val="clear" w:color="000000" w:fill="FFFFFF"/>
            <w:vAlign w:val="center"/>
          </w:tcPr>
          <w:p>
            <w:pPr>
              <w:widowControl/>
              <w:jc w:val="center"/>
              <w:rPr>
                <w:color w:val="000000"/>
                <w:kern w:val="0"/>
                <w:sz w:val="22"/>
                <w:szCs w:val="22"/>
              </w:rPr>
            </w:pPr>
            <w:r>
              <w:rPr>
                <w:color w:val="000000"/>
                <w:kern w:val="0"/>
                <w:sz w:val="22"/>
                <w:szCs w:val="22"/>
              </w:rPr>
              <w:t>省文物局</w:t>
            </w:r>
          </w:p>
        </w:tc>
        <w:tc>
          <w:tcPr>
            <w:tcW w:w="1726" w:type="dxa"/>
            <w:shd w:val="clear" w:color="000000" w:fill="FFFFFF"/>
            <w:vAlign w:val="center"/>
          </w:tcPr>
          <w:p>
            <w:pPr>
              <w:widowControl/>
              <w:rPr>
                <w:kern w:val="0"/>
                <w:sz w:val="22"/>
                <w:szCs w:val="22"/>
              </w:rPr>
            </w:pPr>
            <w:r>
              <w:rPr>
                <w:kern w:val="0"/>
                <w:sz w:val="22"/>
                <w:szCs w:val="22"/>
              </w:rPr>
              <w:t>文物拍卖许可证遗失补办（许可-00955-000）</w:t>
            </w:r>
          </w:p>
        </w:tc>
        <w:tc>
          <w:tcPr>
            <w:tcW w:w="1667" w:type="dxa"/>
            <w:shd w:val="clear" w:color="000000" w:fill="FFFFFF"/>
            <w:vAlign w:val="center"/>
          </w:tcPr>
          <w:p>
            <w:pPr>
              <w:widowControl/>
              <w:rPr>
                <w:kern w:val="0"/>
                <w:sz w:val="22"/>
                <w:szCs w:val="22"/>
              </w:rPr>
            </w:pPr>
            <w:r>
              <w:rPr>
                <w:kern w:val="0"/>
                <w:sz w:val="22"/>
                <w:szCs w:val="22"/>
              </w:rPr>
              <w:t>在省级报纸及中国文物报正刊</w:t>
            </w:r>
            <w:r>
              <w:rPr>
                <w:rFonts w:hint="eastAsia"/>
                <w:kern w:val="0"/>
                <w:sz w:val="22"/>
                <w:szCs w:val="22"/>
              </w:rPr>
              <w:t>刊</w:t>
            </w:r>
            <w:r>
              <w:rPr>
                <w:kern w:val="0"/>
                <w:sz w:val="22"/>
                <w:szCs w:val="22"/>
              </w:rPr>
              <w:t>登遗失声明</w:t>
            </w:r>
          </w:p>
        </w:tc>
        <w:tc>
          <w:tcPr>
            <w:tcW w:w="4274" w:type="dxa"/>
            <w:shd w:val="clear" w:color="000000" w:fill="FFFFFF"/>
            <w:vAlign w:val="center"/>
          </w:tcPr>
          <w:p>
            <w:pPr>
              <w:widowControl/>
              <w:rPr>
                <w:kern w:val="0"/>
                <w:sz w:val="22"/>
                <w:szCs w:val="22"/>
              </w:rPr>
            </w:pPr>
            <w:r>
              <w:rPr>
                <w:kern w:val="0"/>
                <w:sz w:val="22"/>
                <w:szCs w:val="22"/>
              </w:rPr>
              <w:t>《国家文物局关于开展</w:t>
            </w:r>
            <w:r>
              <w:rPr>
                <w:rFonts w:hint="eastAsia"/>
                <w:kern w:val="0"/>
                <w:sz w:val="22"/>
                <w:szCs w:val="22"/>
              </w:rPr>
              <w:t>〈</w:t>
            </w:r>
            <w:r>
              <w:rPr>
                <w:kern w:val="0"/>
                <w:sz w:val="22"/>
                <w:szCs w:val="22"/>
              </w:rPr>
              <w:t>文物拍卖许可证</w:t>
            </w:r>
            <w:r>
              <w:rPr>
                <w:rFonts w:hint="eastAsia"/>
                <w:kern w:val="0"/>
                <w:sz w:val="22"/>
                <w:szCs w:val="22"/>
              </w:rPr>
              <w:t>〉</w:t>
            </w:r>
            <w:r>
              <w:rPr>
                <w:kern w:val="0"/>
                <w:sz w:val="22"/>
                <w:szCs w:val="22"/>
              </w:rPr>
              <w:t>年审工作的通知》（文物博函</w:t>
            </w:r>
            <w:r>
              <w:rPr>
                <w:color w:val="000000"/>
                <w:kern w:val="0"/>
                <w:sz w:val="22"/>
                <w:szCs w:val="22"/>
              </w:rPr>
              <w:t>〔</w:t>
            </w:r>
            <w:r>
              <w:rPr>
                <w:rFonts w:hint="eastAsia"/>
                <w:color w:val="000000"/>
                <w:kern w:val="0"/>
                <w:sz w:val="22"/>
                <w:szCs w:val="22"/>
              </w:rPr>
              <w:t>2012</w:t>
            </w:r>
            <w:r>
              <w:rPr>
                <w:color w:val="000000"/>
                <w:kern w:val="0"/>
                <w:sz w:val="22"/>
                <w:szCs w:val="22"/>
              </w:rPr>
              <w:t>〕</w:t>
            </w:r>
            <w:r>
              <w:rPr>
                <w:kern w:val="0"/>
                <w:sz w:val="22"/>
                <w:szCs w:val="22"/>
              </w:rPr>
              <w:t>1344号） 其他注意事项（二）遗失《文物拍卖许可证》的企业，需提交刊登于企业注册地省级报纸及《中国文物报》（正刊非中缝）50cm</w:t>
            </w:r>
            <w:r>
              <w:rPr>
                <w:kern w:val="0"/>
                <w:sz w:val="22"/>
                <w:szCs w:val="22"/>
                <w:vertAlign w:val="superscript"/>
              </w:rPr>
              <w:t>2</w:t>
            </w:r>
            <w:r>
              <w:rPr>
                <w:kern w:val="0"/>
                <w:sz w:val="22"/>
                <w:szCs w:val="22"/>
              </w:rPr>
              <w:t>（含）以上版面的遗失声明。</w:t>
            </w:r>
          </w:p>
        </w:tc>
        <w:tc>
          <w:tcPr>
            <w:tcW w:w="526" w:type="dxa"/>
            <w:vAlign w:val="center"/>
          </w:tcPr>
          <w:p>
            <w:pPr>
              <w:widowControl/>
              <w:jc w:val="center"/>
              <w:rPr>
                <w:kern w:val="0"/>
                <w:sz w:val="22"/>
                <w:szCs w:val="22"/>
              </w:rPr>
            </w:pPr>
          </w:p>
        </w:tc>
        <w:tc>
          <w:tcPr>
            <w:tcW w:w="727" w:type="dxa"/>
            <w:vAlign w:val="center"/>
          </w:tcPr>
          <w:p>
            <w:pPr>
              <w:widowControl/>
              <w:jc w:val="center"/>
              <w:rPr>
                <w:kern w:val="0"/>
                <w:sz w:val="22"/>
                <w:szCs w:val="22"/>
              </w:rPr>
            </w:pPr>
            <w:r>
              <w:rPr>
                <w:kern w:val="0"/>
                <w:sz w:val="22"/>
                <w:szCs w:val="22"/>
              </w:rPr>
              <w:t>√</w:t>
            </w:r>
          </w:p>
        </w:tc>
        <w:tc>
          <w:tcPr>
            <w:tcW w:w="727" w:type="dxa"/>
            <w:vAlign w:val="center"/>
          </w:tcPr>
          <w:p>
            <w:pPr>
              <w:widowControl/>
              <w:jc w:val="center"/>
              <w:rPr>
                <w:kern w:val="0"/>
                <w:sz w:val="22"/>
                <w:szCs w:val="22"/>
              </w:rPr>
            </w:pPr>
          </w:p>
        </w:tc>
        <w:tc>
          <w:tcPr>
            <w:tcW w:w="950" w:type="dxa"/>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shd w:val="clear" w:color="auto" w:fill="auto"/>
            <w:vAlign w:val="center"/>
          </w:tcPr>
          <w:p>
            <w:pPr>
              <w:widowControl/>
              <w:jc w:val="center"/>
              <w:rPr>
                <w:kern w:val="0"/>
                <w:sz w:val="22"/>
                <w:szCs w:val="22"/>
              </w:rPr>
            </w:pPr>
            <w:r>
              <w:rPr>
                <w:kern w:val="0"/>
                <w:sz w:val="22"/>
                <w:szCs w:val="22"/>
              </w:rPr>
              <w:t>17</w:t>
            </w:r>
          </w:p>
        </w:tc>
        <w:tc>
          <w:tcPr>
            <w:tcW w:w="684" w:type="dxa"/>
            <w:shd w:val="clear" w:color="000000" w:fill="FFFFFF"/>
            <w:vAlign w:val="center"/>
          </w:tcPr>
          <w:p>
            <w:pPr>
              <w:widowControl/>
              <w:jc w:val="center"/>
              <w:rPr>
                <w:color w:val="000000"/>
                <w:kern w:val="0"/>
                <w:sz w:val="22"/>
                <w:szCs w:val="22"/>
              </w:rPr>
            </w:pPr>
            <w:r>
              <w:rPr>
                <w:color w:val="000000"/>
                <w:kern w:val="0"/>
                <w:sz w:val="22"/>
                <w:szCs w:val="22"/>
              </w:rPr>
              <w:t>省药监局</w:t>
            </w:r>
          </w:p>
        </w:tc>
        <w:tc>
          <w:tcPr>
            <w:tcW w:w="1726" w:type="dxa"/>
            <w:shd w:val="clear" w:color="000000" w:fill="FFFFFF"/>
            <w:vAlign w:val="center"/>
          </w:tcPr>
          <w:p>
            <w:pPr>
              <w:widowControl/>
              <w:rPr>
                <w:rFonts w:hint="eastAsia"/>
                <w:color w:val="000000"/>
                <w:kern w:val="0"/>
                <w:sz w:val="22"/>
                <w:szCs w:val="22"/>
              </w:rPr>
            </w:pPr>
            <w:r>
              <w:rPr>
                <w:color w:val="000000"/>
                <w:kern w:val="0"/>
                <w:sz w:val="22"/>
                <w:szCs w:val="22"/>
              </w:rPr>
              <w:t>执业药师再次注册（许可-00487-</w:t>
            </w:r>
          </w:p>
          <w:p>
            <w:pPr>
              <w:widowControl/>
              <w:rPr>
                <w:color w:val="000000"/>
                <w:kern w:val="0"/>
                <w:sz w:val="22"/>
                <w:szCs w:val="22"/>
              </w:rPr>
            </w:pPr>
            <w:r>
              <w:rPr>
                <w:color w:val="000000"/>
                <w:kern w:val="0"/>
                <w:sz w:val="22"/>
                <w:szCs w:val="22"/>
              </w:rPr>
              <w:t>002）</w:t>
            </w:r>
          </w:p>
        </w:tc>
        <w:tc>
          <w:tcPr>
            <w:tcW w:w="1667" w:type="dxa"/>
            <w:shd w:val="clear" w:color="000000" w:fill="FFFFFF"/>
            <w:vAlign w:val="center"/>
          </w:tcPr>
          <w:p>
            <w:pPr>
              <w:widowControl/>
              <w:rPr>
                <w:color w:val="000000"/>
                <w:kern w:val="0"/>
                <w:sz w:val="22"/>
                <w:szCs w:val="22"/>
              </w:rPr>
            </w:pPr>
            <w:r>
              <w:rPr>
                <w:color w:val="000000"/>
                <w:kern w:val="0"/>
                <w:sz w:val="22"/>
                <w:szCs w:val="22"/>
              </w:rPr>
              <w:t>在省级以上报纸刊登遗失声明</w:t>
            </w:r>
          </w:p>
        </w:tc>
        <w:tc>
          <w:tcPr>
            <w:tcW w:w="4274" w:type="dxa"/>
            <w:shd w:val="clear" w:color="000000" w:fill="FFFFFF"/>
            <w:noWrap/>
            <w:vAlign w:val="center"/>
          </w:tcPr>
          <w:p>
            <w:pPr>
              <w:widowControl/>
              <w:rPr>
                <w:color w:val="000000"/>
                <w:kern w:val="0"/>
                <w:sz w:val="22"/>
                <w:szCs w:val="22"/>
              </w:rPr>
            </w:pPr>
            <w:r>
              <w:rPr>
                <w:color w:val="000000"/>
                <w:kern w:val="0"/>
                <w:sz w:val="22"/>
                <w:szCs w:val="22"/>
              </w:rPr>
              <w:t>无法定依据</w:t>
            </w:r>
          </w:p>
        </w:tc>
        <w:tc>
          <w:tcPr>
            <w:tcW w:w="526" w:type="dxa"/>
            <w:vAlign w:val="center"/>
          </w:tcPr>
          <w:p>
            <w:pPr>
              <w:widowControl/>
              <w:jc w:val="center"/>
              <w:rPr>
                <w:color w:val="000000"/>
                <w:kern w:val="0"/>
                <w:sz w:val="22"/>
                <w:szCs w:val="22"/>
              </w:rPr>
            </w:pPr>
            <w:r>
              <w:rPr>
                <w:color w:val="000000"/>
                <w:kern w:val="0"/>
                <w:sz w:val="22"/>
                <w:szCs w:val="22"/>
              </w:rPr>
              <w:t>√</w:t>
            </w:r>
          </w:p>
        </w:tc>
        <w:tc>
          <w:tcPr>
            <w:tcW w:w="727" w:type="dxa"/>
            <w:vAlign w:val="center"/>
          </w:tcPr>
          <w:p>
            <w:pPr>
              <w:widowControl/>
              <w:jc w:val="center"/>
              <w:rPr>
                <w:color w:val="000000"/>
                <w:kern w:val="0"/>
                <w:sz w:val="22"/>
                <w:szCs w:val="22"/>
              </w:rPr>
            </w:pP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noWrap/>
            <w:vAlign w:val="center"/>
          </w:tcPr>
          <w:p>
            <w:pPr>
              <w:widowControl/>
              <w:jc w:val="center"/>
              <w:rPr>
                <w:color w:val="000000"/>
                <w:kern w:val="0"/>
                <w:sz w:val="22"/>
                <w:szCs w:val="22"/>
              </w:rPr>
            </w:pPr>
          </w:p>
        </w:tc>
        <w:tc>
          <w:tcPr>
            <w:tcW w:w="1297" w:type="dxa"/>
            <w:noWrap/>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shd w:val="clear" w:color="auto" w:fill="auto"/>
            <w:vAlign w:val="center"/>
          </w:tcPr>
          <w:p>
            <w:pPr>
              <w:widowControl/>
              <w:jc w:val="center"/>
              <w:rPr>
                <w:kern w:val="0"/>
                <w:sz w:val="22"/>
                <w:szCs w:val="22"/>
              </w:rPr>
            </w:pPr>
            <w:r>
              <w:rPr>
                <w:kern w:val="0"/>
                <w:sz w:val="22"/>
                <w:szCs w:val="22"/>
              </w:rPr>
              <w:t>18</w:t>
            </w:r>
          </w:p>
        </w:tc>
        <w:tc>
          <w:tcPr>
            <w:tcW w:w="684" w:type="dxa"/>
            <w:shd w:val="clear" w:color="000000" w:fill="FFFFFF"/>
            <w:vAlign w:val="center"/>
          </w:tcPr>
          <w:p>
            <w:pPr>
              <w:widowControl/>
              <w:jc w:val="center"/>
              <w:rPr>
                <w:color w:val="000000"/>
                <w:kern w:val="0"/>
                <w:sz w:val="22"/>
                <w:szCs w:val="22"/>
              </w:rPr>
            </w:pPr>
            <w:r>
              <w:rPr>
                <w:color w:val="000000"/>
                <w:kern w:val="0"/>
                <w:sz w:val="22"/>
                <w:szCs w:val="22"/>
              </w:rPr>
              <w:t>省药监局</w:t>
            </w:r>
          </w:p>
        </w:tc>
        <w:tc>
          <w:tcPr>
            <w:tcW w:w="1726" w:type="dxa"/>
            <w:shd w:val="clear" w:color="000000" w:fill="FFFFFF"/>
            <w:vAlign w:val="center"/>
          </w:tcPr>
          <w:p>
            <w:pPr>
              <w:widowControl/>
              <w:rPr>
                <w:rFonts w:hint="eastAsia"/>
                <w:color w:val="000000"/>
                <w:kern w:val="0"/>
                <w:sz w:val="22"/>
                <w:szCs w:val="22"/>
              </w:rPr>
            </w:pPr>
            <w:r>
              <w:rPr>
                <w:color w:val="000000"/>
                <w:kern w:val="0"/>
                <w:sz w:val="22"/>
                <w:szCs w:val="22"/>
              </w:rPr>
              <w:t>执业药师变更注册（许可-00487-</w:t>
            </w:r>
          </w:p>
          <w:p>
            <w:pPr>
              <w:widowControl/>
              <w:rPr>
                <w:color w:val="000000"/>
                <w:kern w:val="0"/>
                <w:sz w:val="22"/>
                <w:szCs w:val="22"/>
              </w:rPr>
            </w:pPr>
            <w:r>
              <w:rPr>
                <w:color w:val="000000"/>
                <w:kern w:val="0"/>
                <w:sz w:val="22"/>
                <w:szCs w:val="22"/>
              </w:rPr>
              <w:t>003）</w:t>
            </w:r>
          </w:p>
        </w:tc>
        <w:tc>
          <w:tcPr>
            <w:tcW w:w="1667" w:type="dxa"/>
            <w:shd w:val="clear" w:color="000000" w:fill="FFFFFF"/>
            <w:vAlign w:val="center"/>
          </w:tcPr>
          <w:p>
            <w:pPr>
              <w:widowControl/>
              <w:rPr>
                <w:color w:val="000000"/>
                <w:kern w:val="0"/>
                <w:sz w:val="22"/>
                <w:szCs w:val="22"/>
              </w:rPr>
            </w:pPr>
            <w:r>
              <w:rPr>
                <w:color w:val="000000"/>
                <w:kern w:val="0"/>
                <w:sz w:val="22"/>
                <w:szCs w:val="22"/>
              </w:rPr>
              <w:t>在省级以上报纸刊登遗失声明</w:t>
            </w:r>
          </w:p>
        </w:tc>
        <w:tc>
          <w:tcPr>
            <w:tcW w:w="4274" w:type="dxa"/>
            <w:shd w:val="clear" w:color="000000" w:fill="FFFFFF"/>
            <w:noWrap/>
            <w:vAlign w:val="center"/>
          </w:tcPr>
          <w:p>
            <w:pPr>
              <w:widowControl/>
              <w:rPr>
                <w:color w:val="000000"/>
                <w:kern w:val="0"/>
                <w:sz w:val="22"/>
                <w:szCs w:val="22"/>
              </w:rPr>
            </w:pPr>
            <w:r>
              <w:rPr>
                <w:color w:val="000000"/>
                <w:kern w:val="0"/>
                <w:sz w:val="22"/>
                <w:szCs w:val="22"/>
              </w:rPr>
              <w:t>无法定依据</w:t>
            </w:r>
          </w:p>
        </w:tc>
        <w:tc>
          <w:tcPr>
            <w:tcW w:w="526" w:type="dxa"/>
            <w:vAlign w:val="center"/>
          </w:tcPr>
          <w:p>
            <w:pPr>
              <w:widowControl/>
              <w:jc w:val="center"/>
              <w:rPr>
                <w:color w:val="000000"/>
                <w:kern w:val="0"/>
                <w:sz w:val="22"/>
                <w:szCs w:val="22"/>
              </w:rPr>
            </w:pPr>
            <w:r>
              <w:rPr>
                <w:color w:val="000000"/>
                <w:kern w:val="0"/>
                <w:sz w:val="22"/>
                <w:szCs w:val="22"/>
              </w:rPr>
              <w:t>√</w:t>
            </w:r>
          </w:p>
        </w:tc>
        <w:tc>
          <w:tcPr>
            <w:tcW w:w="727" w:type="dxa"/>
            <w:vAlign w:val="center"/>
          </w:tcPr>
          <w:p>
            <w:pPr>
              <w:widowControl/>
              <w:jc w:val="center"/>
              <w:rPr>
                <w:color w:val="000000"/>
                <w:kern w:val="0"/>
                <w:sz w:val="22"/>
                <w:szCs w:val="22"/>
              </w:rPr>
            </w:pP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noWrap/>
            <w:vAlign w:val="center"/>
          </w:tcPr>
          <w:p>
            <w:pPr>
              <w:widowControl/>
              <w:jc w:val="center"/>
              <w:rPr>
                <w:color w:val="000000"/>
                <w:kern w:val="0"/>
                <w:sz w:val="22"/>
                <w:szCs w:val="22"/>
              </w:rPr>
            </w:pPr>
          </w:p>
        </w:tc>
        <w:tc>
          <w:tcPr>
            <w:tcW w:w="1297" w:type="dxa"/>
            <w:noWrap/>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shd w:val="clear" w:color="auto" w:fill="auto"/>
            <w:vAlign w:val="center"/>
          </w:tcPr>
          <w:p>
            <w:pPr>
              <w:widowControl/>
              <w:jc w:val="center"/>
              <w:rPr>
                <w:kern w:val="0"/>
                <w:sz w:val="22"/>
                <w:szCs w:val="22"/>
              </w:rPr>
            </w:pPr>
            <w:r>
              <w:rPr>
                <w:kern w:val="0"/>
                <w:sz w:val="22"/>
                <w:szCs w:val="22"/>
              </w:rPr>
              <w:t>19</w:t>
            </w:r>
          </w:p>
        </w:tc>
        <w:tc>
          <w:tcPr>
            <w:tcW w:w="684" w:type="dxa"/>
            <w:shd w:val="clear" w:color="000000" w:fill="FFFFFF"/>
            <w:vAlign w:val="center"/>
          </w:tcPr>
          <w:p>
            <w:pPr>
              <w:widowControl/>
              <w:jc w:val="center"/>
              <w:rPr>
                <w:color w:val="000000"/>
                <w:kern w:val="0"/>
                <w:sz w:val="22"/>
                <w:szCs w:val="22"/>
              </w:rPr>
            </w:pPr>
            <w:r>
              <w:rPr>
                <w:color w:val="000000"/>
                <w:kern w:val="0"/>
                <w:sz w:val="22"/>
                <w:szCs w:val="22"/>
              </w:rPr>
              <w:t>省药监局</w:t>
            </w:r>
          </w:p>
        </w:tc>
        <w:tc>
          <w:tcPr>
            <w:tcW w:w="1726" w:type="dxa"/>
            <w:shd w:val="clear" w:color="000000" w:fill="FFFFFF"/>
            <w:vAlign w:val="center"/>
          </w:tcPr>
          <w:p>
            <w:pPr>
              <w:widowControl/>
              <w:rPr>
                <w:rFonts w:hint="eastAsia"/>
                <w:color w:val="000000"/>
                <w:kern w:val="0"/>
                <w:sz w:val="22"/>
                <w:szCs w:val="22"/>
              </w:rPr>
            </w:pPr>
            <w:r>
              <w:rPr>
                <w:color w:val="000000"/>
                <w:kern w:val="0"/>
                <w:sz w:val="22"/>
                <w:szCs w:val="22"/>
              </w:rPr>
              <w:t>执业药师注销注册（许可-00487-</w:t>
            </w:r>
          </w:p>
          <w:p>
            <w:pPr>
              <w:widowControl/>
              <w:rPr>
                <w:color w:val="000000"/>
                <w:kern w:val="0"/>
                <w:sz w:val="22"/>
                <w:szCs w:val="22"/>
              </w:rPr>
            </w:pPr>
            <w:r>
              <w:rPr>
                <w:color w:val="000000"/>
                <w:kern w:val="0"/>
                <w:sz w:val="22"/>
                <w:szCs w:val="22"/>
              </w:rPr>
              <w:t>004）</w:t>
            </w:r>
          </w:p>
        </w:tc>
        <w:tc>
          <w:tcPr>
            <w:tcW w:w="1667" w:type="dxa"/>
            <w:shd w:val="clear" w:color="000000" w:fill="FFFFFF"/>
            <w:vAlign w:val="center"/>
          </w:tcPr>
          <w:p>
            <w:pPr>
              <w:widowControl/>
              <w:rPr>
                <w:color w:val="000000"/>
                <w:kern w:val="0"/>
                <w:sz w:val="22"/>
                <w:szCs w:val="22"/>
              </w:rPr>
            </w:pPr>
            <w:r>
              <w:rPr>
                <w:color w:val="000000"/>
                <w:kern w:val="0"/>
                <w:sz w:val="22"/>
                <w:szCs w:val="22"/>
              </w:rPr>
              <w:t>在省级以上报纸刊登遗失声明</w:t>
            </w:r>
          </w:p>
        </w:tc>
        <w:tc>
          <w:tcPr>
            <w:tcW w:w="4274" w:type="dxa"/>
            <w:shd w:val="clear" w:color="000000" w:fill="FFFFFF"/>
            <w:noWrap/>
            <w:vAlign w:val="center"/>
          </w:tcPr>
          <w:p>
            <w:pPr>
              <w:widowControl/>
              <w:rPr>
                <w:color w:val="000000"/>
                <w:kern w:val="0"/>
                <w:sz w:val="22"/>
                <w:szCs w:val="22"/>
              </w:rPr>
            </w:pPr>
            <w:r>
              <w:rPr>
                <w:color w:val="000000"/>
                <w:kern w:val="0"/>
                <w:sz w:val="22"/>
                <w:szCs w:val="22"/>
              </w:rPr>
              <w:t>无法定依据</w:t>
            </w:r>
          </w:p>
        </w:tc>
        <w:tc>
          <w:tcPr>
            <w:tcW w:w="526" w:type="dxa"/>
            <w:vAlign w:val="center"/>
          </w:tcPr>
          <w:p>
            <w:pPr>
              <w:widowControl/>
              <w:jc w:val="center"/>
              <w:rPr>
                <w:color w:val="000000"/>
                <w:kern w:val="0"/>
                <w:sz w:val="22"/>
                <w:szCs w:val="22"/>
              </w:rPr>
            </w:pPr>
            <w:r>
              <w:rPr>
                <w:color w:val="000000"/>
                <w:kern w:val="0"/>
                <w:sz w:val="22"/>
                <w:szCs w:val="22"/>
              </w:rPr>
              <w:t>√</w:t>
            </w:r>
          </w:p>
        </w:tc>
        <w:tc>
          <w:tcPr>
            <w:tcW w:w="727" w:type="dxa"/>
            <w:vAlign w:val="center"/>
          </w:tcPr>
          <w:p>
            <w:pPr>
              <w:widowControl/>
              <w:jc w:val="center"/>
              <w:rPr>
                <w:color w:val="000000"/>
                <w:kern w:val="0"/>
                <w:sz w:val="22"/>
                <w:szCs w:val="22"/>
              </w:rPr>
            </w:pP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noWrap/>
            <w:vAlign w:val="center"/>
          </w:tcPr>
          <w:p>
            <w:pPr>
              <w:widowControl/>
              <w:jc w:val="center"/>
              <w:rPr>
                <w:color w:val="000000"/>
                <w:kern w:val="0"/>
                <w:sz w:val="22"/>
                <w:szCs w:val="22"/>
              </w:rPr>
            </w:pPr>
          </w:p>
        </w:tc>
        <w:tc>
          <w:tcPr>
            <w:tcW w:w="1297" w:type="dxa"/>
            <w:noWrap/>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135" w:hRule="atLeast"/>
          <w:jc w:val="center"/>
        </w:trPr>
        <w:tc>
          <w:tcPr>
            <w:tcW w:w="480" w:type="dxa"/>
            <w:vAlign w:val="center"/>
          </w:tcPr>
          <w:p>
            <w:pPr>
              <w:widowControl/>
              <w:jc w:val="center"/>
              <w:rPr>
                <w:kern w:val="0"/>
                <w:sz w:val="22"/>
                <w:szCs w:val="22"/>
              </w:rPr>
            </w:pPr>
            <w:r>
              <w:rPr>
                <w:kern w:val="0"/>
                <w:sz w:val="22"/>
                <w:szCs w:val="22"/>
              </w:rPr>
              <w:t>20</w:t>
            </w:r>
          </w:p>
        </w:tc>
        <w:tc>
          <w:tcPr>
            <w:tcW w:w="684" w:type="dxa"/>
            <w:vAlign w:val="center"/>
          </w:tcPr>
          <w:p>
            <w:pPr>
              <w:widowControl/>
              <w:jc w:val="center"/>
              <w:rPr>
                <w:color w:val="000000"/>
                <w:kern w:val="0"/>
                <w:sz w:val="22"/>
                <w:szCs w:val="22"/>
              </w:rPr>
            </w:pPr>
            <w:r>
              <w:rPr>
                <w:color w:val="000000"/>
                <w:kern w:val="0"/>
                <w:sz w:val="22"/>
                <w:szCs w:val="22"/>
              </w:rPr>
              <w:t>省药监局</w:t>
            </w:r>
          </w:p>
        </w:tc>
        <w:tc>
          <w:tcPr>
            <w:tcW w:w="1726" w:type="dxa"/>
            <w:vAlign w:val="center"/>
          </w:tcPr>
          <w:p>
            <w:pPr>
              <w:widowControl/>
              <w:rPr>
                <w:color w:val="000000"/>
                <w:kern w:val="0"/>
                <w:sz w:val="22"/>
                <w:szCs w:val="22"/>
              </w:rPr>
            </w:pPr>
            <w:r>
              <w:rPr>
                <w:color w:val="000000"/>
                <w:kern w:val="0"/>
                <w:sz w:val="22"/>
                <w:szCs w:val="22"/>
              </w:rPr>
              <w:t>化妆品生产许可遗失补办（许可-00489-006）</w:t>
            </w:r>
          </w:p>
        </w:tc>
        <w:tc>
          <w:tcPr>
            <w:tcW w:w="1667" w:type="dxa"/>
            <w:vAlign w:val="center"/>
          </w:tcPr>
          <w:p>
            <w:pPr>
              <w:widowControl/>
              <w:rPr>
                <w:color w:val="000000"/>
                <w:kern w:val="0"/>
                <w:sz w:val="22"/>
                <w:szCs w:val="22"/>
              </w:rPr>
            </w:pPr>
            <w:r>
              <w:rPr>
                <w:color w:val="000000"/>
                <w:kern w:val="0"/>
                <w:sz w:val="22"/>
                <w:szCs w:val="22"/>
              </w:rPr>
              <w:t>在媒体或许可机构官网刊登作废声明</w:t>
            </w:r>
          </w:p>
        </w:tc>
        <w:tc>
          <w:tcPr>
            <w:tcW w:w="4274" w:type="dxa"/>
            <w:vAlign w:val="center"/>
          </w:tcPr>
          <w:p>
            <w:pPr>
              <w:widowControl/>
              <w:rPr>
                <w:color w:val="000000"/>
                <w:kern w:val="0"/>
                <w:sz w:val="22"/>
                <w:szCs w:val="22"/>
              </w:rPr>
            </w:pPr>
            <w:r>
              <w:rPr>
                <w:color w:val="000000"/>
                <w:kern w:val="0"/>
                <w:sz w:val="22"/>
                <w:szCs w:val="22"/>
              </w:rPr>
              <w:t>《化妆品生产许可工作规范》第二十三条 在《化妆品生产许可证》有效期内，企业化妆品生产许可证遗失、毁损、无法辨认的，应当向原许可机关作出书面说明，并在媒体或许可机构官网声明作废满15日后，向原许可机关提出补发申请。许可机关应对申请企业提交资料进行审核，符合要求的，予以补发。</w:t>
            </w:r>
          </w:p>
        </w:tc>
        <w:tc>
          <w:tcPr>
            <w:tcW w:w="526" w:type="dxa"/>
            <w:vAlign w:val="center"/>
          </w:tcPr>
          <w:p>
            <w:pPr>
              <w:widowControl/>
              <w:jc w:val="center"/>
              <w:rPr>
                <w:color w:val="000000"/>
                <w:kern w:val="0"/>
                <w:sz w:val="22"/>
                <w:szCs w:val="22"/>
              </w:rPr>
            </w:pPr>
            <w:r>
              <w:rPr>
                <w:color w:val="000000"/>
                <w:kern w:val="0"/>
                <w:sz w:val="22"/>
                <w:szCs w:val="22"/>
              </w:rPr>
              <w:t>√</w:t>
            </w:r>
          </w:p>
        </w:tc>
        <w:tc>
          <w:tcPr>
            <w:tcW w:w="727" w:type="dxa"/>
            <w:vAlign w:val="center"/>
          </w:tcPr>
          <w:p>
            <w:pPr>
              <w:widowControl/>
              <w:jc w:val="center"/>
              <w:rPr>
                <w:color w:val="000000"/>
                <w:kern w:val="0"/>
                <w:sz w:val="22"/>
                <w:szCs w:val="22"/>
              </w:rPr>
            </w:pPr>
          </w:p>
        </w:tc>
        <w:tc>
          <w:tcPr>
            <w:tcW w:w="727" w:type="dxa"/>
            <w:vAlign w:val="center"/>
          </w:tcPr>
          <w:p>
            <w:pPr>
              <w:widowControl/>
              <w:jc w:val="center"/>
              <w:rPr>
                <w:color w:val="000000"/>
                <w:kern w:val="0"/>
                <w:sz w:val="22"/>
                <w:szCs w:val="22"/>
              </w:rPr>
            </w:pPr>
          </w:p>
        </w:tc>
        <w:tc>
          <w:tcPr>
            <w:tcW w:w="950" w:type="dxa"/>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121" w:hRule="atLeast"/>
          <w:jc w:val="center"/>
        </w:trPr>
        <w:tc>
          <w:tcPr>
            <w:tcW w:w="480" w:type="dxa"/>
            <w:vAlign w:val="center"/>
          </w:tcPr>
          <w:p>
            <w:pPr>
              <w:widowControl/>
              <w:jc w:val="center"/>
              <w:rPr>
                <w:kern w:val="0"/>
                <w:sz w:val="22"/>
                <w:szCs w:val="22"/>
              </w:rPr>
            </w:pPr>
            <w:r>
              <w:rPr>
                <w:kern w:val="0"/>
                <w:sz w:val="22"/>
                <w:szCs w:val="22"/>
              </w:rPr>
              <w:t>21</w:t>
            </w:r>
          </w:p>
        </w:tc>
        <w:tc>
          <w:tcPr>
            <w:tcW w:w="684" w:type="dxa"/>
            <w:vAlign w:val="center"/>
          </w:tcPr>
          <w:p>
            <w:pPr>
              <w:widowControl/>
              <w:jc w:val="center"/>
              <w:rPr>
                <w:color w:val="000000"/>
                <w:kern w:val="0"/>
                <w:sz w:val="22"/>
                <w:szCs w:val="22"/>
              </w:rPr>
            </w:pPr>
            <w:r>
              <w:rPr>
                <w:color w:val="000000"/>
                <w:kern w:val="0"/>
                <w:sz w:val="22"/>
                <w:szCs w:val="22"/>
              </w:rPr>
              <w:t>省药监局</w:t>
            </w:r>
          </w:p>
        </w:tc>
        <w:tc>
          <w:tcPr>
            <w:tcW w:w="1726" w:type="dxa"/>
            <w:vAlign w:val="center"/>
          </w:tcPr>
          <w:p>
            <w:pPr>
              <w:widowControl/>
              <w:rPr>
                <w:color w:val="000000"/>
                <w:kern w:val="0"/>
                <w:sz w:val="22"/>
                <w:szCs w:val="22"/>
              </w:rPr>
            </w:pPr>
            <w:r>
              <w:rPr>
                <w:color w:val="000000"/>
                <w:kern w:val="0"/>
                <w:sz w:val="22"/>
                <w:szCs w:val="22"/>
              </w:rPr>
              <w:t>《药品经营许可证》（零售）补发</w:t>
            </w:r>
            <w:r>
              <w:rPr>
                <w:color w:val="000000"/>
                <w:spacing w:val="-8"/>
                <w:kern w:val="0"/>
                <w:sz w:val="22"/>
                <w:szCs w:val="22"/>
              </w:rPr>
              <w:t>（许可-00475-027）</w:t>
            </w:r>
          </w:p>
        </w:tc>
        <w:tc>
          <w:tcPr>
            <w:tcW w:w="1667" w:type="dxa"/>
            <w:vAlign w:val="center"/>
          </w:tcPr>
          <w:p>
            <w:pPr>
              <w:widowControl/>
              <w:rPr>
                <w:color w:val="000000"/>
                <w:kern w:val="0"/>
                <w:sz w:val="22"/>
                <w:szCs w:val="22"/>
              </w:rPr>
            </w:pPr>
            <w:r>
              <w:rPr>
                <w:color w:val="000000"/>
                <w:kern w:val="0"/>
                <w:sz w:val="22"/>
                <w:szCs w:val="22"/>
              </w:rPr>
              <w:t>在指定媒体刊登遗失声明</w:t>
            </w:r>
          </w:p>
        </w:tc>
        <w:tc>
          <w:tcPr>
            <w:tcW w:w="4274" w:type="dxa"/>
            <w:vAlign w:val="center"/>
          </w:tcPr>
          <w:p>
            <w:pPr>
              <w:widowControl/>
              <w:rPr>
                <w:color w:val="000000"/>
                <w:kern w:val="0"/>
                <w:sz w:val="22"/>
                <w:szCs w:val="22"/>
              </w:rPr>
            </w:pPr>
            <w:r>
              <w:rPr>
                <w:color w:val="000000"/>
                <w:kern w:val="0"/>
                <w:sz w:val="22"/>
                <w:szCs w:val="22"/>
              </w:rPr>
              <w:t>《药品经营许可证管理办法》（国家食品药品监督管理局令第6号）第二十九条 企业遗失《药品经营许可证》，应立即向发证机关报告，并在发证机关指定的媒体上登载遗失声明。发证机关在企业登载遗失声明之日起满1个月后，按原核准事项补发《药品经营许可证》。</w:t>
            </w:r>
          </w:p>
        </w:tc>
        <w:tc>
          <w:tcPr>
            <w:tcW w:w="526" w:type="dxa"/>
            <w:vAlign w:val="center"/>
          </w:tcPr>
          <w:p>
            <w:pPr>
              <w:widowControl/>
              <w:jc w:val="center"/>
              <w:rPr>
                <w:color w:val="000000"/>
                <w:kern w:val="0"/>
                <w:sz w:val="22"/>
                <w:szCs w:val="22"/>
              </w:rPr>
            </w:pPr>
          </w:p>
        </w:tc>
        <w:tc>
          <w:tcPr>
            <w:tcW w:w="727" w:type="dxa"/>
            <w:vAlign w:val="center"/>
          </w:tcPr>
          <w:p>
            <w:pPr>
              <w:widowControl/>
              <w:jc w:val="center"/>
              <w:rPr>
                <w:color w:val="000000"/>
                <w:kern w:val="0"/>
                <w:sz w:val="22"/>
                <w:szCs w:val="22"/>
              </w:rPr>
            </w:pPr>
            <w:r>
              <w:rPr>
                <w:color w:val="000000"/>
                <w:kern w:val="0"/>
                <w:sz w:val="22"/>
                <w:szCs w:val="22"/>
              </w:rPr>
              <w:t>√</w:t>
            </w:r>
          </w:p>
        </w:tc>
        <w:tc>
          <w:tcPr>
            <w:tcW w:w="727" w:type="dxa"/>
            <w:vAlign w:val="center"/>
          </w:tcPr>
          <w:p>
            <w:pPr>
              <w:widowControl/>
              <w:jc w:val="center"/>
              <w:rPr>
                <w:color w:val="000000"/>
                <w:kern w:val="0"/>
                <w:sz w:val="22"/>
                <w:szCs w:val="22"/>
              </w:rPr>
            </w:pPr>
          </w:p>
        </w:tc>
        <w:tc>
          <w:tcPr>
            <w:tcW w:w="950" w:type="dxa"/>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shd w:val="clear" w:color="auto" w:fill="auto"/>
            <w:vAlign w:val="center"/>
          </w:tcPr>
          <w:p>
            <w:pPr>
              <w:widowControl/>
              <w:jc w:val="center"/>
              <w:rPr>
                <w:kern w:val="0"/>
                <w:sz w:val="22"/>
                <w:szCs w:val="22"/>
              </w:rPr>
            </w:pPr>
            <w:r>
              <w:rPr>
                <w:kern w:val="0"/>
                <w:sz w:val="22"/>
                <w:szCs w:val="22"/>
              </w:rPr>
              <w:t>22</w:t>
            </w:r>
          </w:p>
        </w:tc>
        <w:tc>
          <w:tcPr>
            <w:tcW w:w="684" w:type="dxa"/>
            <w:shd w:val="clear" w:color="000000" w:fill="FFFFFF"/>
            <w:vAlign w:val="center"/>
          </w:tcPr>
          <w:p>
            <w:pPr>
              <w:widowControl/>
              <w:jc w:val="center"/>
              <w:rPr>
                <w:color w:val="000000"/>
                <w:kern w:val="0"/>
                <w:sz w:val="22"/>
                <w:szCs w:val="22"/>
              </w:rPr>
            </w:pPr>
            <w:r>
              <w:rPr>
                <w:color w:val="000000"/>
                <w:kern w:val="0"/>
                <w:sz w:val="22"/>
                <w:szCs w:val="22"/>
              </w:rPr>
              <w:t>省残联</w:t>
            </w:r>
          </w:p>
        </w:tc>
        <w:tc>
          <w:tcPr>
            <w:tcW w:w="1726" w:type="dxa"/>
            <w:shd w:val="clear" w:color="000000" w:fill="FFFFFF"/>
            <w:vAlign w:val="center"/>
          </w:tcPr>
          <w:p>
            <w:pPr>
              <w:widowControl/>
              <w:rPr>
                <w:color w:val="000000"/>
                <w:kern w:val="0"/>
                <w:sz w:val="22"/>
                <w:szCs w:val="22"/>
              </w:rPr>
            </w:pPr>
            <w:r>
              <w:rPr>
                <w:color w:val="000000"/>
                <w:kern w:val="0"/>
                <w:sz w:val="22"/>
                <w:szCs w:val="22"/>
              </w:rPr>
              <w:t>残疾人证遗失补办</w:t>
            </w:r>
          </w:p>
        </w:tc>
        <w:tc>
          <w:tcPr>
            <w:tcW w:w="1667" w:type="dxa"/>
            <w:shd w:val="clear" w:color="000000" w:fill="FFFFFF"/>
            <w:vAlign w:val="center"/>
          </w:tcPr>
          <w:p>
            <w:pPr>
              <w:widowControl/>
              <w:rPr>
                <w:color w:val="000000"/>
                <w:kern w:val="0"/>
                <w:sz w:val="22"/>
                <w:szCs w:val="22"/>
              </w:rPr>
            </w:pPr>
            <w:r>
              <w:rPr>
                <w:color w:val="000000"/>
                <w:kern w:val="0"/>
                <w:sz w:val="22"/>
                <w:szCs w:val="22"/>
              </w:rPr>
              <w:t>在县（市、区）级以上的报纸刊登作废声明</w:t>
            </w:r>
          </w:p>
        </w:tc>
        <w:tc>
          <w:tcPr>
            <w:tcW w:w="4274" w:type="dxa"/>
            <w:shd w:val="clear" w:color="000000" w:fill="FFFFFF"/>
            <w:vAlign w:val="center"/>
          </w:tcPr>
          <w:p>
            <w:pPr>
              <w:widowControl/>
              <w:rPr>
                <w:color w:val="000000"/>
                <w:kern w:val="0"/>
                <w:sz w:val="22"/>
                <w:szCs w:val="22"/>
              </w:rPr>
            </w:pPr>
            <w:r>
              <w:rPr>
                <w:color w:val="000000"/>
                <w:kern w:val="0"/>
                <w:sz w:val="22"/>
                <w:szCs w:val="22"/>
              </w:rPr>
              <w:t>2018年杭州市残联制定的《关于贯彻落实</w:t>
            </w:r>
            <w:r>
              <w:rPr>
                <w:rFonts w:hint="eastAsia"/>
                <w:color w:val="000000"/>
                <w:kern w:val="0"/>
                <w:sz w:val="22"/>
                <w:szCs w:val="22"/>
              </w:rPr>
              <w:t>〈</w:t>
            </w:r>
            <w:r>
              <w:rPr>
                <w:color w:val="000000"/>
                <w:kern w:val="0"/>
                <w:sz w:val="22"/>
                <w:szCs w:val="22"/>
              </w:rPr>
              <w:t>浙江省残疾证管理细则（试行）</w:t>
            </w:r>
            <w:r>
              <w:rPr>
                <w:rFonts w:hint="eastAsia"/>
                <w:color w:val="000000"/>
                <w:kern w:val="0"/>
                <w:sz w:val="22"/>
                <w:szCs w:val="22"/>
              </w:rPr>
              <w:t>〉</w:t>
            </w:r>
            <w:r>
              <w:rPr>
                <w:color w:val="000000"/>
                <w:kern w:val="0"/>
                <w:sz w:val="22"/>
                <w:szCs w:val="22"/>
              </w:rPr>
              <w:t>的通知》（杭残联宣〔2019〕6号）中规定“残疾人证遗失的应在区、县（市）级别以上的报刊登报申请作废，费用自理”。</w:t>
            </w:r>
          </w:p>
        </w:tc>
        <w:tc>
          <w:tcPr>
            <w:tcW w:w="526" w:type="dxa"/>
            <w:shd w:val="clear" w:color="000000" w:fill="FFFFFF"/>
            <w:vAlign w:val="center"/>
          </w:tcPr>
          <w:p>
            <w:pPr>
              <w:widowControl/>
              <w:jc w:val="center"/>
              <w:rPr>
                <w:color w:val="000000"/>
                <w:kern w:val="0"/>
                <w:sz w:val="22"/>
                <w:szCs w:val="22"/>
              </w:rPr>
            </w:pPr>
            <w:r>
              <w:rPr>
                <w:color w:val="000000"/>
                <w:kern w:val="0"/>
                <w:sz w:val="22"/>
                <w:szCs w:val="22"/>
              </w:rPr>
              <w:t>√</w:t>
            </w:r>
          </w:p>
        </w:tc>
        <w:tc>
          <w:tcPr>
            <w:tcW w:w="727" w:type="dxa"/>
            <w:shd w:val="clear" w:color="000000" w:fill="FFFFFF"/>
            <w:vAlign w:val="center"/>
          </w:tcPr>
          <w:p>
            <w:pPr>
              <w:widowControl/>
              <w:jc w:val="center"/>
              <w:rPr>
                <w:color w:val="000000"/>
                <w:kern w:val="0"/>
                <w:sz w:val="22"/>
                <w:szCs w:val="22"/>
              </w:rPr>
            </w:pPr>
          </w:p>
        </w:tc>
        <w:tc>
          <w:tcPr>
            <w:tcW w:w="727" w:type="dxa"/>
            <w:shd w:val="clear" w:color="000000" w:fill="FFFFFF"/>
            <w:vAlign w:val="center"/>
          </w:tcPr>
          <w:p>
            <w:pPr>
              <w:widowControl/>
              <w:jc w:val="center"/>
              <w:rPr>
                <w:color w:val="000000"/>
                <w:kern w:val="0"/>
                <w:sz w:val="22"/>
                <w:szCs w:val="22"/>
              </w:rPr>
            </w:pPr>
          </w:p>
        </w:tc>
        <w:tc>
          <w:tcPr>
            <w:tcW w:w="950" w:type="dxa"/>
            <w:shd w:val="clear" w:color="000000" w:fill="FFFFFF"/>
            <w:vAlign w:val="center"/>
          </w:tcPr>
          <w:p>
            <w:pPr>
              <w:widowControl/>
              <w:jc w:val="center"/>
              <w:rPr>
                <w:color w:val="000000"/>
                <w:kern w:val="0"/>
                <w:sz w:val="22"/>
                <w:szCs w:val="22"/>
              </w:rPr>
            </w:pPr>
          </w:p>
        </w:tc>
        <w:tc>
          <w:tcPr>
            <w:tcW w:w="550" w:type="dxa"/>
            <w:shd w:val="clear" w:color="000000" w:fill="FFFFFF"/>
            <w:vAlign w:val="center"/>
          </w:tcPr>
          <w:p>
            <w:pPr>
              <w:widowControl/>
              <w:jc w:val="center"/>
              <w:rPr>
                <w:color w:val="333333"/>
                <w:kern w:val="0"/>
                <w:sz w:val="24"/>
                <w:szCs w:val="24"/>
              </w:rPr>
            </w:pPr>
          </w:p>
        </w:tc>
        <w:tc>
          <w:tcPr>
            <w:tcW w:w="1297" w:type="dxa"/>
            <w:shd w:val="clear" w:color="000000" w:fill="FFFFFF"/>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67" w:hRule="atLeast"/>
          <w:jc w:val="center"/>
        </w:trPr>
        <w:tc>
          <w:tcPr>
            <w:tcW w:w="480" w:type="dxa"/>
            <w:shd w:val="clear" w:color="000000" w:fill="FFFFFF"/>
            <w:vAlign w:val="center"/>
          </w:tcPr>
          <w:p>
            <w:pPr>
              <w:widowControl/>
              <w:jc w:val="center"/>
              <w:rPr>
                <w:kern w:val="0"/>
                <w:sz w:val="22"/>
                <w:szCs w:val="22"/>
              </w:rPr>
            </w:pPr>
            <w:r>
              <w:rPr>
                <w:kern w:val="0"/>
                <w:sz w:val="22"/>
                <w:szCs w:val="22"/>
              </w:rPr>
              <w:t>23</w:t>
            </w:r>
          </w:p>
        </w:tc>
        <w:tc>
          <w:tcPr>
            <w:tcW w:w="684" w:type="dxa"/>
            <w:shd w:val="clear" w:color="000000" w:fill="FFFFFF"/>
            <w:vAlign w:val="center"/>
          </w:tcPr>
          <w:p>
            <w:pPr>
              <w:widowControl/>
              <w:jc w:val="center"/>
              <w:rPr>
                <w:color w:val="000000"/>
                <w:kern w:val="0"/>
                <w:sz w:val="22"/>
                <w:szCs w:val="22"/>
              </w:rPr>
            </w:pPr>
            <w:r>
              <w:rPr>
                <w:color w:val="000000"/>
                <w:kern w:val="0"/>
                <w:sz w:val="22"/>
                <w:szCs w:val="22"/>
              </w:rPr>
              <w:t>杭州海关</w:t>
            </w:r>
          </w:p>
        </w:tc>
        <w:tc>
          <w:tcPr>
            <w:tcW w:w="1726" w:type="dxa"/>
            <w:shd w:val="clear" w:color="000000" w:fill="FFFFFF"/>
            <w:vAlign w:val="center"/>
          </w:tcPr>
          <w:p>
            <w:pPr>
              <w:widowControl/>
              <w:rPr>
                <w:rFonts w:hint="eastAsia"/>
                <w:kern w:val="0"/>
                <w:sz w:val="22"/>
                <w:szCs w:val="22"/>
              </w:rPr>
            </w:pPr>
            <w:r>
              <w:rPr>
                <w:kern w:val="0"/>
                <w:sz w:val="22"/>
                <w:szCs w:val="22"/>
              </w:rPr>
              <w:t>进口可用作原料的固体废物国内收货人注册登记（杭州海关-0003</w:t>
            </w:r>
          </w:p>
          <w:p>
            <w:pPr>
              <w:widowControl/>
              <w:rPr>
                <w:kern w:val="0"/>
                <w:sz w:val="22"/>
                <w:szCs w:val="22"/>
              </w:rPr>
            </w:pPr>
            <w:r>
              <w:rPr>
                <w:kern w:val="0"/>
                <w:sz w:val="22"/>
                <w:szCs w:val="22"/>
              </w:rPr>
              <w:t>9-000）</w:t>
            </w:r>
          </w:p>
        </w:tc>
        <w:tc>
          <w:tcPr>
            <w:tcW w:w="1667" w:type="dxa"/>
            <w:shd w:val="clear" w:color="000000" w:fill="FFFFFF"/>
            <w:vAlign w:val="center"/>
          </w:tcPr>
          <w:p>
            <w:pPr>
              <w:widowControl/>
              <w:rPr>
                <w:kern w:val="0"/>
                <w:sz w:val="22"/>
                <w:szCs w:val="22"/>
              </w:rPr>
            </w:pPr>
            <w:r>
              <w:rPr>
                <w:kern w:val="0"/>
                <w:sz w:val="22"/>
                <w:szCs w:val="22"/>
              </w:rPr>
              <w:t>在《中国国门时报》刊登“进口可用作原料的固体废物国内收货人注册登记证书”遗失声明</w:t>
            </w:r>
          </w:p>
        </w:tc>
        <w:tc>
          <w:tcPr>
            <w:tcW w:w="4274" w:type="dxa"/>
            <w:shd w:val="clear" w:color="000000" w:fill="FFFFFF"/>
            <w:vAlign w:val="center"/>
          </w:tcPr>
          <w:p>
            <w:pPr>
              <w:widowControl/>
              <w:rPr>
                <w:color w:val="000000"/>
                <w:kern w:val="0"/>
                <w:sz w:val="22"/>
                <w:szCs w:val="22"/>
              </w:rPr>
            </w:pPr>
            <w:r>
              <w:rPr>
                <w:color w:val="000000"/>
                <w:kern w:val="0"/>
                <w:sz w:val="22"/>
                <w:szCs w:val="22"/>
              </w:rPr>
              <w:t>无法定依据</w:t>
            </w:r>
          </w:p>
        </w:tc>
        <w:tc>
          <w:tcPr>
            <w:tcW w:w="526" w:type="dxa"/>
            <w:vAlign w:val="center"/>
          </w:tcPr>
          <w:p>
            <w:pPr>
              <w:widowControl/>
              <w:jc w:val="center"/>
              <w:rPr>
                <w:kern w:val="0"/>
                <w:sz w:val="22"/>
                <w:szCs w:val="22"/>
              </w:rPr>
            </w:pPr>
            <w:r>
              <w:rPr>
                <w:kern w:val="0"/>
                <w:sz w:val="22"/>
                <w:szCs w:val="22"/>
              </w:rPr>
              <w:t>√</w:t>
            </w:r>
          </w:p>
        </w:tc>
        <w:tc>
          <w:tcPr>
            <w:tcW w:w="727" w:type="dxa"/>
            <w:noWrap/>
            <w:vAlign w:val="center"/>
          </w:tcPr>
          <w:p>
            <w:pPr>
              <w:widowControl/>
              <w:jc w:val="center"/>
              <w:rPr>
                <w:color w:val="000000"/>
                <w:kern w:val="0"/>
                <w:sz w:val="22"/>
                <w:szCs w:val="22"/>
              </w:rPr>
            </w:pP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400" w:hRule="atLeast"/>
          <w:jc w:val="center"/>
        </w:trPr>
        <w:tc>
          <w:tcPr>
            <w:tcW w:w="480" w:type="dxa"/>
            <w:vAlign w:val="center"/>
          </w:tcPr>
          <w:p>
            <w:pPr>
              <w:widowControl/>
              <w:jc w:val="center"/>
              <w:rPr>
                <w:kern w:val="0"/>
                <w:sz w:val="22"/>
                <w:szCs w:val="22"/>
              </w:rPr>
            </w:pPr>
            <w:r>
              <w:rPr>
                <w:kern w:val="0"/>
                <w:sz w:val="22"/>
                <w:szCs w:val="22"/>
              </w:rPr>
              <w:t>24</w:t>
            </w:r>
          </w:p>
        </w:tc>
        <w:tc>
          <w:tcPr>
            <w:tcW w:w="684" w:type="dxa"/>
            <w:vAlign w:val="center"/>
          </w:tcPr>
          <w:p>
            <w:pPr>
              <w:widowControl/>
              <w:jc w:val="center"/>
              <w:rPr>
                <w:color w:val="000000"/>
                <w:kern w:val="0"/>
                <w:sz w:val="22"/>
                <w:szCs w:val="22"/>
              </w:rPr>
            </w:pPr>
            <w:r>
              <w:rPr>
                <w:color w:val="000000"/>
                <w:kern w:val="0"/>
                <w:sz w:val="22"/>
                <w:szCs w:val="22"/>
              </w:rPr>
              <w:t>宁波海关</w:t>
            </w:r>
          </w:p>
        </w:tc>
        <w:tc>
          <w:tcPr>
            <w:tcW w:w="1726" w:type="dxa"/>
            <w:vAlign w:val="center"/>
          </w:tcPr>
          <w:p>
            <w:pPr>
              <w:widowControl/>
              <w:rPr>
                <w:color w:val="000000"/>
                <w:kern w:val="0"/>
                <w:sz w:val="22"/>
                <w:szCs w:val="22"/>
              </w:rPr>
            </w:pPr>
            <w:r>
              <w:rPr>
                <w:color w:val="000000"/>
                <w:kern w:val="0"/>
                <w:sz w:val="22"/>
                <w:szCs w:val="22"/>
              </w:rPr>
              <w:t>普惠制原产地证明书的正本被盗、遗失或损毁，申请单位请求重新签发证书</w:t>
            </w:r>
          </w:p>
        </w:tc>
        <w:tc>
          <w:tcPr>
            <w:tcW w:w="1667" w:type="dxa"/>
            <w:vAlign w:val="center"/>
          </w:tcPr>
          <w:p>
            <w:pPr>
              <w:widowControl/>
              <w:rPr>
                <w:color w:val="000000"/>
                <w:kern w:val="0"/>
                <w:sz w:val="22"/>
                <w:szCs w:val="22"/>
              </w:rPr>
            </w:pPr>
            <w:r>
              <w:rPr>
                <w:color w:val="000000"/>
                <w:kern w:val="0"/>
                <w:sz w:val="22"/>
                <w:szCs w:val="22"/>
              </w:rPr>
              <w:t>在市级以上报纸刊登作废声明</w:t>
            </w:r>
          </w:p>
        </w:tc>
        <w:tc>
          <w:tcPr>
            <w:tcW w:w="4274" w:type="dxa"/>
            <w:vAlign w:val="center"/>
          </w:tcPr>
          <w:p>
            <w:pPr>
              <w:widowControl/>
              <w:rPr>
                <w:color w:val="000000"/>
                <w:kern w:val="0"/>
                <w:sz w:val="22"/>
                <w:szCs w:val="22"/>
              </w:rPr>
            </w:pPr>
            <w:r>
              <w:rPr>
                <w:color w:val="000000"/>
                <w:kern w:val="0"/>
                <w:sz w:val="22"/>
                <w:szCs w:val="22"/>
              </w:rPr>
              <w:t>《关于下发“中华人民共和国普遍优惠制原产地证明书签证管理办法实施细则”的通知》（国检务</w:t>
            </w:r>
            <w:r>
              <w:rPr>
                <w:rFonts w:hint="eastAsia"/>
                <w:color w:val="000000"/>
                <w:kern w:val="0"/>
                <w:sz w:val="22"/>
                <w:szCs w:val="22"/>
              </w:rPr>
              <w:t>〔</w:t>
            </w:r>
            <w:r>
              <w:rPr>
                <w:color w:val="000000"/>
                <w:kern w:val="0"/>
                <w:sz w:val="22"/>
                <w:szCs w:val="22"/>
              </w:rPr>
              <w:t>1990</w:t>
            </w:r>
            <w:r>
              <w:rPr>
                <w:rFonts w:hint="eastAsia"/>
                <w:color w:val="000000"/>
                <w:kern w:val="0"/>
                <w:sz w:val="22"/>
                <w:szCs w:val="22"/>
              </w:rPr>
              <w:t>〕</w:t>
            </w:r>
            <w:r>
              <w:rPr>
                <w:color w:val="000000"/>
                <w:kern w:val="0"/>
                <w:sz w:val="22"/>
                <w:szCs w:val="22"/>
              </w:rPr>
              <w:t>317号）第十六条 如果已签发（普惠制原产地）证书的正本被盗、遗失或损毁，申请单位请求重新签发证书时，必须做到以下两点：（一）提交由法人代表签字的书面检查；（二）在市级以上的报纸上声明原发证书作废。</w:t>
            </w:r>
          </w:p>
        </w:tc>
        <w:tc>
          <w:tcPr>
            <w:tcW w:w="526" w:type="dxa"/>
            <w:noWrap/>
            <w:vAlign w:val="center"/>
          </w:tcPr>
          <w:p>
            <w:pPr>
              <w:widowControl/>
              <w:jc w:val="center"/>
              <w:rPr>
                <w:color w:val="000000"/>
                <w:kern w:val="0"/>
                <w:sz w:val="22"/>
                <w:szCs w:val="22"/>
              </w:rPr>
            </w:pPr>
          </w:p>
        </w:tc>
        <w:tc>
          <w:tcPr>
            <w:tcW w:w="727" w:type="dxa"/>
            <w:vAlign w:val="center"/>
          </w:tcPr>
          <w:p>
            <w:pPr>
              <w:widowControl/>
              <w:jc w:val="center"/>
              <w:rPr>
                <w:kern w:val="0"/>
                <w:sz w:val="22"/>
                <w:szCs w:val="22"/>
              </w:rPr>
            </w:pPr>
            <w:r>
              <w:rPr>
                <w:kern w:val="0"/>
                <w:sz w:val="22"/>
                <w:szCs w:val="22"/>
              </w:rPr>
              <w:t>√</w:t>
            </w: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vAlign w:val="center"/>
          </w:tcPr>
          <w:p>
            <w:pPr>
              <w:widowControl/>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310" w:hRule="atLeast"/>
          <w:jc w:val="center"/>
        </w:trPr>
        <w:tc>
          <w:tcPr>
            <w:tcW w:w="480" w:type="dxa"/>
            <w:vAlign w:val="center"/>
          </w:tcPr>
          <w:p>
            <w:pPr>
              <w:widowControl/>
              <w:jc w:val="center"/>
              <w:rPr>
                <w:kern w:val="0"/>
                <w:sz w:val="22"/>
                <w:szCs w:val="22"/>
              </w:rPr>
            </w:pPr>
            <w:r>
              <w:rPr>
                <w:kern w:val="0"/>
                <w:sz w:val="22"/>
                <w:szCs w:val="22"/>
              </w:rPr>
              <w:t>25</w:t>
            </w:r>
          </w:p>
        </w:tc>
        <w:tc>
          <w:tcPr>
            <w:tcW w:w="684" w:type="dxa"/>
            <w:vAlign w:val="center"/>
          </w:tcPr>
          <w:p>
            <w:pPr>
              <w:widowControl/>
              <w:jc w:val="center"/>
              <w:rPr>
                <w:color w:val="000000"/>
                <w:kern w:val="0"/>
                <w:sz w:val="22"/>
                <w:szCs w:val="22"/>
              </w:rPr>
            </w:pPr>
            <w:r>
              <w:rPr>
                <w:color w:val="000000"/>
                <w:kern w:val="0"/>
                <w:sz w:val="22"/>
                <w:szCs w:val="22"/>
              </w:rPr>
              <w:t>宁波海关</w:t>
            </w:r>
          </w:p>
        </w:tc>
        <w:tc>
          <w:tcPr>
            <w:tcW w:w="1726" w:type="dxa"/>
            <w:vAlign w:val="center"/>
          </w:tcPr>
          <w:p>
            <w:pPr>
              <w:widowControl/>
              <w:rPr>
                <w:color w:val="000000"/>
                <w:kern w:val="0"/>
                <w:sz w:val="22"/>
                <w:szCs w:val="22"/>
              </w:rPr>
            </w:pPr>
            <w:r>
              <w:rPr>
                <w:color w:val="000000"/>
                <w:kern w:val="0"/>
                <w:sz w:val="22"/>
                <w:szCs w:val="22"/>
              </w:rPr>
              <w:t>丢失检验检疫证单申明作废</w:t>
            </w:r>
          </w:p>
        </w:tc>
        <w:tc>
          <w:tcPr>
            <w:tcW w:w="1667" w:type="dxa"/>
            <w:vAlign w:val="center"/>
          </w:tcPr>
          <w:p>
            <w:pPr>
              <w:widowControl/>
              <w:rPr>
                <w:color w:val="000000"/>
                <w:kern w:val="0"/>
                <w:sz w:val="22"/>
                <w:szCs w:val="22"/>
              </w:rPr>
            </w:pPr>
            <w:r>
              <w:rPr>
                <w:color w:val="000000"/>
                <w:kern w:val="0"/>
                <w:sz w:val="22"/>
                <w:szCs w:val="22"/>
              </w:rPr>
              <w:t>在《</w:t>
            </w:r>
            <w:r>
              <w:rPr>
                <w:rFonts w:hint="eastAsia"/>
                <w:color w:val="000000"/>
                <w:kern w:val="0"/>
                <w:sz w:val="22"/>
                <w:szCs w:val="22"/>
              </w:rPr>
              <w:t>中国</w:t>
            </w:r>
            <w:r>
              <w:rPr>
                <w:color w:val="000000"/>
                <w:kern w:val="0"/>
                <w:sz w:val="22"/>
                <w:szCs w:val="22"/>
              </w:rPr>
              <w:t>国门时报》或全国性经济类报纸上刊登作废声明</w:t>
            </w:r>
          </w:p>
        </w:tc>
        <w:tc>
          <w:tcPr>
            <w:tcW w:w="4274" w:type="dxa"/>
            <w:vAlign w:val="center"/>
          </w:tcPr>
          <w:p>
            <w:pPr>
              <w:widowControl/>
              <w:rPr>
                <w:color w:val="000000"/>
                <w:kern w:val="0"/>
                <w:sz w:val="22"/>
                <w:szCs w:val="22"/>
              </w:rPr>
            </w:pPr>
            <w:r>
              <w:rPr>
                <w:color w:val="000000"/>
                <w:kern w:val="0"/>
                <w:sz w:val="22"/>
                <w:szCs w:val="22"/>
              </w:rPr>
              <w:t>《关于对丢失检验检疫证单申明作废问题的通知》（质检通函〔2008</w:t>
            </w:r>
            <w:r>
              <w:rPr>
                <w:rFonts w:hAnsi="宋体" w:eastAsia="宋体"/>
                <w:color w:val="000000"/>
                <w:kern w:val="0"/>
                <w:sz w:val="22"/>
                <w:szCs w:val="22"/>
              </w:rPr>
              <w:t>﹞</w:t>
            </w:r>
            <w:r>
              <w:rPr>
                <w:color w:val="000000"/>
                <w:kern w:val="0"/>
                <w:sz w:val="22"/>
                <w:szCs w:val="22"/>
              </w:rPr>
              <w:t>270号）丢失检验检疫证单的作废应选在《</w:t>
            </w:r>
            <w:r>
              <w:rPr>
                <w:rFonts w:hint="eastAsia"/>
                <w:color w:val="000000"/>
                <w:kern w:val="0"/>
                <w:sz w:val="22"/>
                <w:szCs w:val="22"/>
              </w:rPr>
              <w:t>中国</w:t>
            </w:r>
            <w:r>
              <w:rPr>
                <w:color w:val="000000"/>
                <w:kern w:val="0"/>
                <w:sz w:val="22"/>
                <w:szCs w:val="22"/>
              </w:rPr>
              <w:t>国门时报》或在全国性经济类报纸上刊登。</w:t>
            </w:r>
          </w:p>
        </w:tc>
        <w:tc>
          <w:tcPr>
            <w:tcW w:w="526" w:type="dxa"/>
            <w:noWrap/>
            <w:vAlign w:val="center"/>
          </w:tcPr>
          <w:p>
            <w:pPr>
              <w:widowControl/>
              <w:jc w:val="center"/>
              <w:rPr>
                <w:color w:val="000000"/>
                <w:kern w:val="0"/>
                <w:sz w:val="22"/>
                <w:szCs w:val="22"/>
              </w:rPr>
            </w:pPr>
          </w:p>
        </w:tc>
        <w:tc>
          <w:tcPr>
            <w:tcW w:w="727" w:type="dxa"/>
            <w:noWrap/>
            <w:vAlign w:val="center"/>
          </w:tcPr>
          <w:p>
            <w:pPr>
              <w:widowControl/>
              <w:jc w:val="center"/>
              <w:rPr>
                <w:color w:val="000000"/>
                <w:kern w:val="0"/>
                <w:sz w:val="22"/>
                <w:szCs w:val="22"/>
              </w:rPr>
            </w:pP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vAlign w:val="center"/>
          </w:tcPr>
          <w:p>
            <w:pPr>
              <w:widowControl/>
              <w:jc w:val="center"/>
              <w:rPr>
                <w:kern w:val="0"/>
                <w:sz w:val="22"/>
                <w:szCs w:val="22"/>
              </w:rPr>
            </w:pPr>
            <w:r>
              <w:rPr>
                <w:kern w:val="0"/>
                <w:sz w:val="22"/>
                <w:szCs w:val="22"/>
              </w:rPr>
              <w:t>√</w:t>
            </w:r>
          </w:p>
        </w:tc>
        <w:tc>
          <w:tcPr>
            <w:tcW w:w="1297" w:type="dxa"/>
            <w:vAlign w:val="center"/>
          </w:tcPr>
          <w:p>
            <w:pPr>
              <w:widowControl/>
              <w:rPr>
                <w:color w:val="000000"/>
                <w:kern w:val="0"/>
                <w:sz w:val="22"/>
                <w:szCs w:val="22"/>
              </w:rPr>
            </w:pPr>
            <w:r>
              <w:rPr>
                <w:color w:val="000000"/>
                <w:kern w:val="0"/>
                <w:sz w:val="22"/>
                <w:szCs w:val="22"/>
              </w:rPr>
              <w:t>无纸化方式上传情况说明和法律承诺。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1255" w:hRule="atLeast"/>
          <w:jc w:val="center"/>
        </w:trPr>
        <w:tc>
          <w:tcPr>
            <w:tcW w:w="480" w:type="dxa"/>
            <w:vAlign w:val="center"/>
          </w:tcPr>
          <w:p>
            <w:pPr>
              <w:widowControl/>
              <w:jc w:val="center"/>
              <w:rPr>
                <w:kern w:val="0"/>
                <w:sz w:val="22"/>
                <w:szCs w:val="22"/>
              </w:rPr>
            </w:pPr>
            <w:r>
              <w:rPr>
                <w:kern w:val="0"/>
                <w:sz w:val="22"/>
                <w:szCs w:val="22"/>
              </w:rPr>
              <w:t>26</w:t>
            </w:r>
          </w:p>
        </w:tc>
        <w:tc>
          <w:tcPr>
            <w:tcW w:w="684" w:type="dxa"/>
            <w:vAlign w:val="center"/>
          </w:tcPr>
          <w:p>
            <w:pPr>
              <w:widowControl/>
              <w:jc w:val="center"/>
              <w:rPr>
                <w:color w:val="000000"/>
                <w:kern w:val="0"/>
                <w:sz w:val="22"/>
                <w:szCs w:val="22"/>
              </w:rPr>
            </w:pPr>
            <w:r>
              <w:rPr>
                <w:color w:val="000000"/>
                <w:kern w:val="0"/>
                <w:sz w:val="22"/>
                <w:szCs w:val="22"/>
              </w:rPr>
              <w:t>省税务局</w:t>
            </w:r>
          </w:p>
        </w:tc>
        <w:tc>
          <w:tcPr>
            <w:tcW w:w="1726" w:type="dxa"/>
            <w:vAlign w:val="center"/>
          </w:tcPr>
          <w:p>
            <w:pPr>
              <w:widowControl/>
              <w:rPr>
                <w:kern w:val="0"/>
                <w:sz w:val="22"/>
                <w:szCs w:val="22"/>
              </w:rPr>
            </w:pPr>
            <w:r>
              <w:rPr>
                <w:kern w:val="0"/>
                <w:sz w:val="22"/>
                <w:szCs w:val="22"/>
              </w:rPr>
              <w:t>税务登记证遗失</w:t>
            </w:r>
          </w:p>
        </w:tc>
        <w:tc>
          <w:tcPr>
            <w:tcW w:w="1667" w:type="dxa"/>
            <w:vAlign w:val="center"/>
          </w:tcPr>
          <w:p>
            <w:pPr>
              <w:widowControl/>
              <w:rPr>
                <w:kern w:val="0"/>
                <w:sz w:val="22"/>
                <w:szCs w:val="22"/>
              </w:rPr>
            </w:pPr>
            <w:r>
              <w:rPr>
                <w:kern w:val="0"/>
                <w:sz w:val="22"/>
                <w:szCs w:val="22"/>
              </w:rPr>
              <w:t>在报纸刊登作废声明</w:t>
            </w:r>
          </w:p>
        </w:tc>
        <w:tc>
          <w:tcPr>
            <w:tcW w:w="4274" w:type="dxa"/>
            <w:vAlign w:val="center"/>
          </w:tcPr>
          <w:p>
            <w:pPr>
              <w:widowControl/>
              <w:rPr>
                <w:kern w:val="0"/>
                <w:sz w:val="22"/>
                <w:szCs w:val="22"/>
              </w:rPr>
            </w:pPr>
            <w:r>
              <w:rPr>
                <w:kern w:val="0"/>
                <w:sz w:val="22"/>
                <w:szCs w:val="22"/>
              </w:rPr>
              <w:t>《中华人民共和国税收征收管理法实施细则》第二十条 纳税人遗失税务登记证件的，应当在15日内书面报告主管税务机关，并登报声明作废。</w:t>
            </w:r>
          </w:p>
        </w:tc>
        <w:tc>
          <w:tcPr>
            <w:tcW w:w="526" w:type="dxa"/>
            <w:vAlign w:val="center"/>
          </w:tcPr>
          <w:p>
            <w:pPr>
              <w:widowControl/>
              <w:jc w:val="center"/>
              <w:rPr>
                <w:kern w:val="0"/>
                <w:sz w:val="22"/>
                <w:szCs w:val="22"/>
              </w:rPr>
            </w:pPr>
            <w:r>
              <w:rPr>
                <w:kern w:val="0"/>
                <w:sz w:val="22"/>
                <w:szCs w:val="22"/>
              </w:rPr>
              <w:t>√</w:t>
            </w:r>
          </w:p>
        </w:tc>
        <w:tc>
          <w:tcPr>
            <w:tcW w:w="727" w:type="dxa"/>
            <w:vAlign w:val="center"/>
          </w:tcPr>
          <w:p>
            <w:pPr>
              <w:widowControl/>
              <w:jc w:val="center"/>
              <w:rPr>
                <w:kern w:val="0"/>
                <w:sz w:val="22"/>
                <w:szCs w:val="22"/>
              </w:rPr>
            </w:pPr>
          </w:p>
        </w:tc>
        <w:tc>
          <w:tcPr>
            <w:tcW w:w="727" w:type="dxa"/>
            <w:vAlign w:val="center"/>
          </w:tcPr>
          <w:p>
            <w:pPr>
              <w:widowControl/>
              <w:jc w:val="center"/>
              <w:rPr>
                <w:kern w:val="0"/>
                <w:sz w:val="22"/>
                <w:szCs w:val="22"/>
              </w:rPr>
            </w:pPr>
          </w:p>
        </w:tc>
        <w:tc>
          <w:tcPr>
            <w:tcW w:w="950" w:type="dxa"/>
            <w:vAlign w:val="center"/>
          </w:tcPr>
          <w:p>
            <w:pPr>
              <w:widowControl/>
              <w:jc w:val="center"/>
              <w:rPr>
                <w:kern w:val="0"/>
                <w:sz w:val="22"/>
                <w:szCs w:val="22"/>
              </w:rPr>
            </w:pPr>
          </w:p>
        </w:tc>
        <w:tc>
          <w:tcPr>
            <w:tcW w:w="550" w:type="dxa"/>
            <w:vAlign w:val="center"/>
          </w:tcPr>
          <w:p>
            <w:pPr>
              <w:widowControl/>
              <w:jc w:val="center"/>
              <w:rPr>
                <w:kern w:val="0"/>
                <w:sz w:val="22"/>
                <w:szCs w:val="22"/>
              </w:rPr>
            </w:pPr>
          </w:p>
        </w:tc>
        <w:tc>
          <w:tcPr>
            <w:tcW w:w="1297" w:type="dxa"/>
            <w:vAlign w:val="center"/>
          </w:tcPr>
          <w:p>
            <w:pPr>
              <w:widowControl/>
              <w:rPr>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974" w:hRule="atLeast"/>
          <w:jc w:val="center"/>
        </w:trPr>
        <w:tc>
          <w:tcPr>
            <w:tcW w:w="480" w:type="dxa"/>
            <w:shd w:val="clear" w:color="auto" w:fill="auto"/>
            <w:vAlign w:val="center"/>
          </w:tcPr>
          <w:p>
            <w:pPr>
              <w:widowControl/>
              <w:jc w:val="center"/>
              <w:rPr>
                <w:kern w:val="0"/>
                <w:sz w:val="22"/>
                <w:szCs w:val="22"/>
              </w:rPr>
            </w:pPr>
            <w:r>
              <w:rPr>
                <w:kern w:val="0"/>
                <w:sz w:val="22"/>
                <w:szCs w:val="22"/>
              </w:rPr>
              <w:t>27</w:t>
            </w:r>
          </w:p>
        </w:tc>
        <w:tc>
          <w:tcPr>
            <w:tcW w:w="684" w:type="dxa"/>
            <w:shd w:val="clear" w:color="000000" w:fill="FFFFFF"/>
            <w:vAlign w:val="center"/>
          </w:tcPr>
          <w:p>
            <w:pPr>
              <w:widowControl/>
              <w:jc w:val="center"/>
              <w:rPr>
                <w:kern w:val="0"/>
                <w:sz w:val="22"/>
                <w:szCs w:val="22"/>
              </w:rPr>
            </w:pPr>
            <w:r>
              <w:rPr>
                <w:kern w:val="0"/>
                <w:sz w:val="22"/>
                <w:szCs w:val="22"/>
              </w:rPr>
              <w:t>省邮政管理局</w:t>
            </w:r>
          </w:p>
        </w:tc>
        <w:tc>
          <w:tcPr>
            <w:tcW w:w="1726" w:type="dxa"/>
            <w:shd w:val="clear" w:color="000000" w:fill="FFFFFF"/>
            <w:vAlign w:val="center"/>
          </w:tcPr>
          <w:p>
            <w:pPr>
              <w:widowControl/>
              <w:rPr>
                <w:color w:val="000000"/>
                <w:kern w:val="0"/>
                <w:sz w:val="22"/>
                <w:szCs w:val="22"/>
              </w:rPr>
            </w:pPr>
            <w:r>
              <w:rPr>
                <w:color w:val="000000"/>
                <w:kern w:val="0"/>
                <w:sz w:val="22"/>
                <w:szCs w:val="22"/>
              </w:rPr>
              <w:t>快递业务经营许可证正、副本遗失</w:t>
            </w:r>
          </w:p>
        </w:tc>
        <w:tc>
          <w:tcPr>
            <w:tcW w:w="1667" w:type="dxa"/>
            <w:shd w:val="clear" w:color="000000" w:fill="FFFFFF"/>
            <w:vAlign w:val="center"/>
          </w:tcPr>
          <w:p>
            <w:pPr>
              <w:widowControl/>
              <w:rPr>
                <w:color w:val="000000"/>
                <w:kern w:val="0"/>
                <w:sz w:val="22"/>
                <w:szCs w:val="22"/>
              </w:rPr>
            </w:pPr>
            <w:r>
              <w:rPr>
                <w:color w:val="000000"/>
                <w:kern w:val="0"/>
                <w:sz w:val="22"/>
                <w:szCs w:val="22"/>
              </w:rPr>
              <w:t>在报纸刊登遗失声明</w:t>
            </w:r>
          </w:p>
        </w:tc>
        <w:tc>
          <w:tcPr>
            <w:tcW w:w="4274" w:type="dxa"/>
            <w:shd w:val="clear" w:color="000000" w:fill="FFFFFF"/>
            <w:vAlign w:val="center"/>
          </w:tcPr>
          <w:p>
            <w:pPr>
              <w:widowControl/>
              <w:rPr>
                <w:color w:val="000000"/>
                <w:kern w:val="0"/>
                <w:sz w:val="22"/>
                <w:szCs w:val="22"/>
              </w:rPr>
            </w:pPr>
            <w:r>
              <w:rPr>
                <w:color w:val="000000"/>
                <w:kern w:val="0"/>
                <w:sz w:val="22"/>
                <w:szCs w:val="22"/>
              </w:rPr>
              <w:t>无法定依据</w:t>
            </w:r>
          </w:p>
        </w:tc>
        <w:tc>
          <w:tcPr>
            <w:tcW w:w="526" w:type="dxa"/>
            <w:noWrap/>
            <w:vAlign w:val="center"/>
          </w:tcPr>
          <w:p>
            <w:pPr>
              <w:widowControl/>
              <w:jc w:val="center"/>
              <w:rPr>
                <w:color w:val="000000"/>
                <w:kern w:val="0"/>
                <w:sz w:val="22"/>
                <w:szCs w:val="22"/>
              </w:rPr>
            </w:pPr>
            <w:r>
              <w:rPr>
                <w:color w:val="000000"/>
                <w:kern w:val="0"/>
                <w:sz w:val="22"/>
                <w:szCs w:val="22"/>
              </w:rPr>
              <w:t>√</w:t>
            </w:r>
          </w:p>
        </w:tc>
        <w:tc>
          <w:tcPr>
            <w:tcW w:w="727" w:type="dxa"/>
            <w:noWrap/>
            <w:vAlign w:val="center"/>
          </w:tcPr>
          <w:p>
            <w:pPr>
              <w:widowControl/>
              <w:jc w:val="center"/>
              <w:rPr>
                <w:color w:val="000000"/>
                <w:kern w:val="0"/>
                <w:sz w:val="22"/>
                <w:szCs w:val="22"/>
              </w:rPr>
            </w:pPr>
          </w:p>
        </w:tc>
        <w:tc>
          <w:tcPr>
            <w:tcW w:w="727" w:type="dxa"/>
            <w:noWrap/>
            <w:vAlign w:val="center"/>
          </w:tcPr>
          <w:p>
            <w:pPr>
              <w:widowControl/>
              <w:jc w:val="center"/>
              <w:rPr>
                <w:color w:val="000000"/>
                <w:kern w:val="0"/>
                <w:sz w:val="22"/>
                <w:szCs w:val="22"/>
              </w:rPr>
            </w:pPr>
          </w:p>
        </w:tc>
        <w:tc>
          <w:tcPr>
            <w:tcW w:w="950" w:type="dxa"/>
            <w:noWrap/>
            <w:vAlign w:val="center"/>
          </w:tcPr>
          <w:p>
            <w:pPr>
              <w:widowControl/>
              <w:jc w:val="center"/>
              <w:rPr>
                <w:color w:val="000000"/>
                <w:kern w:val="0"/>
                <w:sz w:val="22"/>
                <w:szCs w:val="22"/>
              </w:rPr>
            </w:pPr>
          </w:p>
        </w:tc>
        <w:tc>
          <w:tcPr>
            <w:tcW w:w="550" w:type="dxa"/>
            <w:vAlign w:val="center"/>
          </w:tcPr>
          <w:p>
            <w:pPr>
              <w:widowControl/>
              <w:jc w:val="center"/>
              <w:rPr>
                <w:color w:val="000000"/>
                <w:kern w:val="0"/>
                <w:sz w:val="22"/>
                <w:szCs w:val="22"/>
              </w:rPr>
            </w:pPr>
          </w:p>
        </w:tc>
        <w:tc>
          <w:tcPr>
            <w:tcW w:w="1297" w:type="dxa"/>
            <w:noWrap/>
            <w:vAlign w:val="center"/>
          </w:tcPr>
          <w:p>
            <w:pPr>
              <w:widowControl/>
              <w:rPr>
                <w:color w:val="000000"/>
                <w:kern w:val="0"/>
                <w:sz w:val="22"/>
                <w:szCs w:val="22"/>
              </w:rPr>
            </w:pPr>
          </w:p>
        </w:tc>
      </w:tr>
    </w:tbl>
    <w:p>
      <w:bookmarkStart w:id="0" w:name="_GoBack"/>
      <w:bookmarkEnd w:id="0"/>
    </w:p>
    <w:sectPr>
      <w:pgSz w:w="16838" w:h="11906" w:orient="landscape"/>
      <w:pgMar w:top="1800" w:right="1440" w:bottom="1800" w:left="1440" w:header="851" w:footer="992" w:gutter="0"/>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70"/>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57"/>
    <w:rsid w:val="00007F0A"/>
    <w:rsid w:val="00013F11"/>
    <w:rsid w:val="000F6997"/>
    <w:rsid w:val="00121811"/>
    <w:rsid w:val="00152249"/>
    <w:rsid w:val="001A6609"/>
    <w:rsid w:val="001E52E5"/>
    <w:rsid w:val="0029355A"/>
    <w:rsid w:val="002E353B"/>
    <w:rsid w:val="00375897"/>
    <w:rsid w:val="004E032C"/>
    <w:rsid w:val="00530227"/>
    <w:rsid w:val="005766AF"/>
    <w:rsid w:val="005F3427"/>
    <w:rsid w:val="0062534A"/>
    <w:rsid w:val="00657AAF"/>
    <w:rsid w:val="00765705"/>
    <w:rsid w:val="0078473F"/>
    <w:rsid w:val="00801F57"/>
    <w:rsid w:val="00811D90"/>
    <w:rsid w:val="00861499"/>
    <w:rsid w:val="008E468F"/>
    <w:rsid w:val="00A60B04"/>
    <w:rsid w:val="00B242A4"/>
    <w:rsid w:val="00BD61AB"/>
    <w:rsid w:val="00C27E2F"/>
    <w:rsid w:val="00CB1504"/>
    <w:rsid w:val="00CF435F"/>
    <w:rsid w:val="00D45C95"/>
    <w:rsid w:val="00E140DB"/>
    <w:rsid w:val="00ED71EC"/>
    <w:rsid w:val="00F14A1D"/>
    <w:rsid w:val="00F27295"/>
    <w:rsid w:val="00FE4C0C"/>
    <w:rsid w:val="3162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10"/>
      <w:sz w:val="34"/>
      <w:szCs w:val="3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eastAsia="宋体"/>
      <w:kern w:val="2"/>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rFonts w:eastAsia="宋体"/>
      <w:kern w:val="2"/>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541</Words>
  <Characters>3090</Characters>
  <Lines>25</Lines>
  <Paragraphs>7</Paragraphs>
  <TotalTime>1</TotalTime>
  <ScaleCrop>false</ScaleCrop>
  <LinksUpToDate>false</LinksUpToDate>
  <CharactersWithSpaces>3624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2019-07-18T07:33:00Z</dcterms:created>
  <dc:creator>骆乐</dc:creator>
  <cp:lastModifiedBy>jhon</cp:lastModifiedBy>
  <dcterms:modified xsi:type="dcterms:W3CDTF">2019-07-19T08:41:17Z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