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杭州市临安区高虹镇人民政府2020年度政府信息公开工作报告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   根据《中华人民共和国政府信息公开条例》（以下简称条例）、《杭州市人民政府办公厅关于做好2020年政务公开工作总结和政府信息公开工作年度报告有关事项的通知》（以下简称通知），高虹镇人民政府认真贯彻落实《条例》、《通知》精神，规范、透明、高效做好政务公开工作，现将2020年高虹镇人民政府信息公开工作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一、总体情况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（一）主动公开工作情况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1、公开的主要内容：共主动公开机构职能、政策文件、资金管理、公共服务、社会救助等100条政府信息。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、公开形式：上述内容可在互联网政府信息公开平台上查阅，也可在高虹镇镇档案室申请查阅。本单位设立政府住处公开栏。为保证所有的群众都能及时了解本镇的信息，在公开形式上，我们围绕便于群众知情、办事、监督，对于上网不方便的农民群众，通过政府信息公开栏进行公开，保证了政府信息的透明度和群众的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（二）依申请公开工作情况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1、按要求建立了《政府信息公开指南》，可通过互联网或电话、传真等方式进行查阅和咨询依申请公开的相关要求和程序。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2、确定申请公开的政府信息，涉及国家和商业秘密、个人隐私，公开后可能损害第三方合法权益等情况，不予以公开。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3、</w:t>
      </w:r>
      <w:bookmarkStart w:id="0" w:name="_GoBack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截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en-US" w:eastAsia="zh-CN"/>
        </w:rPr>
        <w:t>至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目前，本单位没有收到公民、法人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  <w:t>，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或者其他组织获取政府信息的申请。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本单位严格按照《条例》和《通知》的要求，以规范、透明、高效为目标，严格保密审查，按照“谁提供、谁负责；谁公开，谁审查”的原则，严格落实分管领导、各科室及信息员责任制做好政务公开管理。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本单位所发布的政府公开信息主要发布渠道为“杭州临安”政府信息公开平台（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instrText xml:space="preserve"> HYPERLINK "http://www.linan.gov.cn/" </w:instrTex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5"/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t>www.linan.gov.cn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），也可在本单位公众微信号、公众微博及本单位信息公开栏查阅。为提高本单位信息公开的规范、透明、高效性，我单位将进一步提高信息公开平台规范化建设水平，拓宽公布渠道，提高信息发布的规范性、准确性、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本单位所有信息公开内容均可在“杭州临安”政府信息公开平台（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instrText xml:space="preserve"> HYPERLINK "http://www.linan.gov.cn/" </w:instrTex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5"/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t>www.linan.gov.cn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）查询下载，对本单位信息公开有任何疑问，请与高虹镇党政综合办联系（地址：高虹镇德胜街108号；邮编：311307；电话：63777007；传真：63777007）。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二、主动公开政府信息情况</w:t>
      </w:r>
    </w:p>
    <w:tbl>
      <w:tblPr>
        <w:tblStyle w:val="3"/>
        <w:tblW w:w="7344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836"/>
        <w:gridCol w:w="1608"/>
        <w:gridCol w:w="180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本年新制作数量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本年新公开数量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规章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规范性文件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本年增/减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行政许可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其他对外管理服务事项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本年增/减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行政处罚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行政强制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行政事业性收费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采购项目数量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政府集中采购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67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1766200元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三、收到和处理政府信息公开申请情况</w:t>
      </w:r>
    </w:p>
    <w:tbl>
      <w:tblPr>
        <w:tblStyle w:val="3"/>
        <w:tblW w:w="7368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00"/>
        <w:gridCol w:w="2436"/>
        <w:gridCol w:w="648"/>
        <w:gridCol w:w="504"/>
        <w:gridCol w:w="480"/>
        <w:gridCol w:w="456"/>
        <w:gridCol w:w="528"/>
        <w:gridCol w:w="480"/>
        <w:gridCol w:w="48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7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35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申请人情况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37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自然人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37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商业企业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科研机构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社会公益组织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法律服务机构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三、本年度办理结果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（三）不予公开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1.属于国家秘密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2.其他法律行政法规禁止公开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3.危及“三安全一稳定”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4.保护第三方合法权益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5.属于三类内部事务信息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6.属于四类过程性信息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7.属于行政执法案卷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8.属于行政查询事项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（四）无法提供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1.本机关不掌握相关政府信息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2.没有现成信息需要另行制作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3.补正后申请内容仍不明确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（五）不予处理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1.信访举报投诉类申请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2.重复申请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3.要求提供公开出版物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4.无正当理由大量反复申请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（六）其他处理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（七）总计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四、结转下年度继续办理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四、政府信息公开行政复议、行政诉讼情况</w:t>
      </w:r>
    </w:p>
    <w:tbl>
      <w:tblPr>
        <w:tblStyle w:val="3"/>
        <w:tblW w:w="738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492"/>
        <w:gridCol w:w="504"/>
        <w:gridCol w:w="540"/>
        <w:gridCol w:w="660"/>
        <w:gridCol w:w="420"/>
        <w:gridCol w:w="492"/>
        <w:gridCol w:w="456"/>
        <w:gridCol w:w="444"/>
        <w:gridCol w:w="528"/>
        <w:gridCol w:w="492"/>
        <w:gridCol w:w="444"/>
        <w:gridCol w:w="408"/>
        <w:gridCol w:w="456"/>
        <w:gridCol w:w="58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行政复议</w:t>
            </w:r>
          </w:p>
        </w:tc>
        <w:tc>
          <w:tcPr>
            <w:tcW w:w="47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行政诉讼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总计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未经复议直接起诉</w:t>
            </w:r>
          </w:p>
        </w:tc>
        <w:tc>
          <w:tcPr>
            <w:tcW w:w="2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复议后起诉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总计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五、政府信息公开工作存在的主要问题及改进情况。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2020年高虹镇认真开展政务公开工作，虽较好的完成各项工作，但也存在一些问题和不足，主要表现在：一是公开内容不全面，部分栏目未发布相关信息；二是信息公开的时效性不强，有时存在滞后发布现象；三是信息发布的准确性不强，存在信息栏目发布错误情况；四是部分科室政务公开意识不够强，存在遗漏公开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（二）2021年政府信息公开工作计划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2020年我们将针对存在的问题和不足，进一步加强政府信息公开工作的建设力度。一是进一步加强政务公开工作力度，加强组织领导，提高思想认识，不断加强政务公开的管理和督查，加强制度的落实和资料的管理，为打造“阳光型”政府打好基础。二是加大政务信息的收集和公布力度，提高信息收集的水平。三是不断充实公开信息的内容，坚持“公开为原则，不公开为例外”的原则，加大政务公开覆盖面。四是严格工作流程，加大保密审查力度，规范开展保密审核工作。五是开展政务信息工作培训和学习，加强本单位各科室政务公开意识，提升工作人员的业务能力，提高信息发布的准确性。2021年高虹镇将继续努力做好政务信息公开工作，切实把政务公开工作建设成为对外展示的窗口、推进依法行政、发扬民主的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本年度无其他需要报告的事项。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                                                                                      杭州市临安区高虹镇人民政府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                                                                                           2021年1月20日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015F"/>
    <w:rsid w:val="15A64F44"/>
    <w:rsid w:val="326A793D"/>
    <w:rsid w:val="355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2021-03-22T07:33:00Z</dcterms:created>
  <dc:creator>黄太锋</dc:creator>
  <cp:lastModifiedBy>若曦</cp:lastModifiedBy>
  <dcterms:modified xsi:type="dcterms:W3CDTF">2022-02-10T08:52:49Z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2060D1A2EACC428B9802202299443F21</vt:lpwstr>
  </property>
</Properties>
</file>