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4E" w:rsidRDefault="007A790E" w:rsidP="00706F4E">
      <w:pPr>
        <w:widowControl/>
        <w:jc w:val="center"/>
        <w:rPr>
          <w:rFonts w:ascii="黑体" w:eastAsia="黑体" w:hAnsi="黑体" w:cs="宋体"/>
          <w:color w:val="333333"/>
          <w:kern w:val="0"/>
          <w:sz w:val="28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40"/>
          <w:szCs w:val="36"/>
        </w:rPr>
        <w:t>2020年</w:t>
      </w:r>
      <w:r w:rsidR="00706F4E">
        <w:rPr>
          <w:rFonts w:ascii="黑体" w:eastAsia="黑体" w:hAnsi="黑体" w:cs="宋体" w:hint="eastAsia"/>
          <w:bCs/>
          <w:color w:val="333333"/>
          <w:kern w:val="0"/>
          <w:sz w:val="40"/>
          <w:szCs w:val="36"/>
        </w:rPr>
        <w:t>政府信息公开工作年度报告</w:t>
      </w: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一、总体情况</w:t>
      </w:r>
    </w:p>
    <w:p w:rsidR="00706F4E" w:rsidRPr="00B75634" w:rsidRDefault="00B75634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20</w:t>
      </w:r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年，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临安区交通运输局始终</w:t>
      </w:r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坚持以习近平新时代中国特色社会主义思想为指导，严格遵循《中华人民共和国政府信息公开条例》以及省、市、区的政府信息公开办理的相关规定，围绕中心工作，加大信息主动公开力度，创新信息公开形式，全方位推进政府信息公开工作。</w:t>
      </w:r>
    </w:p>
    <w:p w:rsidR="00706F4E" w:rsidRDefault="00B75634" w:rsidP="00EC3342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2020年度，通过政府信息公开网站主动公开一般性文件43个，政务</w:t>
      </w:r>
      <w:proofErr w:type="gramStart"/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微信主动</w:t>
      </w:r>
      <w:proofErr w:type="gramEnd"/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公开政府信息145条，政务</w:t>
      </w:r>
      <w:proofErr w:type="gramStart"/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微博主动</w:t>
      </w:r>
      <w:proofErr w:type="gramEnd"/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公开政府信息80条，</w:t>
      </w:r>
      <w:r w:rsidR="00BA098D" w:rsidRPr="00BA098D">
        <w:rPr>
          <w:rFonts w:ascii="宋体" w:eastAsia="宋体" w:hAnsi="宋体" w:cs="宋体" w:hint="eastAsia"/>
          <w:color w:val="333333"/>
          <w:kern w:val="0"/>
          <w:sz w:val="24"/>
        </w:rPr>
        <w:t>通过政务新媒体、网络问政、</w:t>
      </w:r>
      <w:proofErr w:type="gramStart"/>
      <w:r w:rsidR="00BA098D" w:rsidRPr="00BA098D">
        <w:rPr>
          <w:rFonts w:ascii="宋体" w:eastAsia="宋体" w:hAnsi="宋体" w:cs="宋体" w:hint="eastAsia"/>
          <w:color w:val="333333"/>
          <w:kern w:val="0"/>
          <w:sz w:val="24"/>
        </w:rPr>
        <w:t>智慧人大</w:t>
      </w:r>
      <w:proofErr w:type="gramEnd"/>
      <w:r w:rsidR="00BA098D" w:rsidRPr="00BA098D">
        <w:rPr>
          <w:rFonts w:ascii="宋体" w:eastAsia="宋体" w:hAnsi="宋体" w:cs="宋体" w:hint="eastAsia"/>
          <w:color w:val="333333"/>
          <w:kern w:val="0"/>
          <w:sz w:val="24"/>
        </w:rPr>
        <w:t>平台等回应社会关切80</w:t>
      </w:r>
      <w:r w:rsidR="00BA098D">
        <w:rPr>
          <w:rFonts w:ascii="宋体" w:eastAsia="宋体" w:hAnsi="宋体" w:cs="宋体" w:hint="eastAsia"/>
          <w:color w:val="333333"/>
          <w:kern w:val="0"/>
          <w:sz w:val="24"/>
        </w:rPr>
        <w:t>余条</w:t>
      </w:r>
      <w:r w:rsidRPr="00B75634">
        <w:rPr>
          <w:rFonts w:ascii="宋体" w:eastAsia="宋体" w:hAnsi="宋体" w:cs="宋体" w:hint="eastAsia"/>
          <w:color w:val="333333"/>
          <w:kern w:val="0"/>
          <w:sz w:val="24"/>
        </w:rPr>
        <w:t>；累计处理来访件10件，满意率100%，民生服务来电处理1300件，满意率97%。网上信访73件，领导信箱18件，满意率100%。收到处理依申请公开2件，未产生费用问题。未发生针对本部门有关政府信息公开事务的行政复议案、行政诉讼案和有关的申诉案。</w:t>
      </w: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二、主动公开政府信息情况</w:t>
      </w:r>
    </w:p>
    <w:tbl>
      <w:tblPr>
        <w:tblW w:w="87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2126"/>
        <w:gridCol w:w="1994"/>
        <w:gridCol w:w="1900"/>
      </w:tblGrid>
      <w:tr w:rsidR="00CB7EE4" w:rsidTr="00CB7EE4">
        <w:trPr>
          <w:trHeight w:val="20"/>
          <w:jc w:val="center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</w:t>
            </w:r>
            <w:r w:rsidR="00B136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</w:tcPr>
          <w:p w:rsidR="00CB7EE4" w:rsidRPr="00B20323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</w:tcPr>
          <w:p w:rsidR="00CB7EE4" w:rsidRPr="00B20323" w:rsidRDefault="00B13601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</w:tcPr>
          <w:p w:rsidR="00CB7EE4" w:rsidRPr="00B20323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2032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741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8729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CB7EE4" w:rsidTr="00CB7EE4">
        <w:trPr>
          <w:trHeight w:val="20"/>
          <w:jc w:val="center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2971550</w:t>
            </w:r>
          </w:p>
        </w:tc>
      </w:tr>
    </w:tbl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W w:w="8899" w:type="dxa"/>
        <w:tblLayout w:type="fixed"/>
        <w:tblLook w:val="04A0"/>
      </w:tblPr>
      <w:tblGrid>
        <w:gridCol w:w="624"/>
        <w:gridCol w:w="709"/>
        <w:gridCol w:w="2552"/>
        <w:gridCol w:w="892"/>
        <w:gridCol w:w="820"/>
        <w:gridCol w:w="609"/>
        <w:gridCol w:w="850"/>
        <w:gridCol w:w="904"/>
        <w:gridCol w:w="372"/>
        <w:gridCol w:w="567"/>
      </w:tblGrid>
      <w:tr w:rsidR="00CB7EE4" w:rsidTr="00CB7EE4">
        <w:trPr>
          <w:trHeight w:val="20"/>
        </w:trPr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申请人情况</w:t>
            </w:r>
          </w:p>
        </w:tc>
      </w:tr>
      <w:tr w:rsidR="00CB7EE4" w:rsidTr="00CB7EE4">
        <w:trPr>
          <w:trHeight w:val="20"/>
        </w:trPr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总计</w:t>
            </w:r>
          </w:p>
        </w:tc>
      </w:tr>
      <w:tr w:rsidR="00CB7EE4" w:rsidTr="00CB7EE4">
        <w:trPr>
          <w:trHeight w:val="20"/>
        </w:trPr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商业企业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社会公益组织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法律服务机构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其他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</w:tr>
      <w:tr w:rsidR="00CB7EE4" w:rsidTr="00CB7EE4">
        <w:trPr>
          <w:trHeight w:val="2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</w:t>
            </w:r>
          </w:p>
        </w:tc>
      </w:tr>
      <w:tr w:rsidR="00CB7EE4" w:rsidTr="00CB7EE4">
        <w:trPr>
          <w:trHeight w:val="2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三、本年度办理结果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（一）予以公开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（三）不予公开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1.属于国家秘密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2.其他法律行政法规禁止公开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稳定”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4.保护第三方合法权益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5.属于三类内部事务信息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6.属于四类过程性信息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7.属于行政执法案卷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8.属于行政查询事项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（四）无法提供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1.本机关不掌握相关政府信息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2.没有现成信息需要另行制作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3.补正后申请内容仍不明确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1.信访举报投诉类申请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2.重复申请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3.要求提供公开出版物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4.无正当理由大量反复申请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29032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（六）其他处理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  <w:tr w:rsidR="00CB7EE4" w:rsidTr="00CB7EE4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（七）总计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3</w:t>
            </w:r>
          </w:p>
        </w:tc>
      </w:tr>
      <w:tr w:rsidR="00CB7EE4" w:rsidTr="00CB7EE4">
        <w:trPr>
          <w:trHeight w:val="20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四、结转下年度继续办理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7EE4" w:rsidRDefault="00CB7EE4" w:rsidP="00E31A6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</w:tbl>
    <w:p w:rsidR="00706F4E" w:rsidRDefault="00706F4E" w:rsidP="00CB7EE4">
      <w:pPr>
        <w:widowControl/>
        <w:ind w:firstLineChars="200" w:firstLine="482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lastRenderedPageBreak/>
        <w:t>四、政府信息公开行政复议、行政诉讼情况</w:t>
      </w: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06F4E" w:rsidTr="0024235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06F4E" w:rsidTr="0024235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06F4E" w:rsidTr="00242359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F4E" w:rsidRDefault="00706F4E" w:rsidP="00242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4E" w:rsidRDefault="00706F4E" w:rsidP="00242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4E" w:rsidRDefault="00706F4E" w:rsidP="00242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4E" w:rsidRDefault="00706F4E" w:rsidP="00242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4E" w:rsidRDefault="00706F4E" w:rsidP="00242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F4E" w:rsidRDefault="00706F4E" w:rsidP="002423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7EE4" w:rsidTr="0024235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E4" w:rsidRDefault="00CB7EE4" w:rsidP="00E31A6E">
            <w:pPr>
              <w:jc w:val="center"/>
            </w:pPr>
            <w:r w:rsidRPr="006F1F6B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</w:rPr>
              <w:t>0</w:t>
            </w:r>
          </w:p>
        </w:tc>
      </w:tr>
    </w:tbl>
    <w:p w:rsidR="00706F4E" w:rsidRDefault="00706F4E" w:rsidP="00706F4E">
      <w:pPr>
        <w:widowControl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五、存在的主要问题及改进情况</w:t>
      </w:r>
    </w:p>
    <w:p w:rsidR="00EC3342" w:rsidRPr="00EC3342" w:rsidRDefault="00EC3342" w:rsidP="00706F4E">
      <w:pPr>
        <w:widowControl/>
        <w:ind w:firstLine="480"/>
        <w:rPr>
          <w:rFonts w:ascii="宋体" w:eastAsia="宋体" w:hAnsi="宋体" w:cs="宋体"/>
          <w:b/>
          <w:color w:val="333333"/>
          <w:kern w:val="0"/>
          <w:sz w:val="24"/>
        </w:rPr>
      </w:pPr>
      <w:r w:rsidRPr="00EC3342">
        <w:rPr>
          <w:rFonts w:ascii="宋体" w:eastAsia="宋体" w:hAnsi="宋体" w:cs="宋体" w:hint="eastAsia"/>
          <w:b/>
          <w:color w:val="333333"/>
          <w:kern w:val="0"/>
          <w:sz w:val="24"/>
        </w:rPr>
        <w:t>（一）存在问题</w:t>
      </w:r>
    </w:p>
    <w:p w:rsidR="00706F4E" w:rsidRPr="00EC3342" w:rsidRDefault="00EC3342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EC3342">
        <w:rPr>
          <w:rFonts w:ascii="宋体" w:eastAsia="宋体" w:hAnsi="宋体" w:cs="宋体" w:hint="eastAsia"/>
          <w:color w:val="333333"/>
          <w:kern w:val="0"/>
          <w:sz w:val="24"/>
        </w:rPr>
        <w:t>2020年政务信息公开工作虽做到及时公开，但缺少从公众视角开展公开工作的意识，对政务公开工作把握不够精准，对公开的内容是否是公众最需要知晓的了解不够。</w:t>
      </w:r>
    </w:p>
    <w:p w:rsidR="00706F4E" w:rsidRPr="00EC3342" w:rsidRDefault="00EC3342" w:rsidP="00706F4E">
      <w:pPr>
        <w:widowControl/>
        <w:ind w:firstLine="480"/>
        <w:rPr>
          <w:rFonts w:ascii="宋体" w:eastAsia="宋体" w:hAnsi="宋体" w:cs="宋体"/>
          <w:b/>
          <w:color w:val="333333"/>
          <w:kern w:val="0"/>
          <w:sz w:val="24"/>
        </w:rPr>
      </w:pPr>
      <w:r w:rsidRPr="00EC3342">
        <w:rPr>
          <w:rFonts w:ascii="宋体" w:eastAsia="宋体" w:hAnsi="宋体" w:cs="宋体" w:hint="eastAsia"/>
          <w:b/>
          <w:color w:val="333333"/>
          <w:kern w:val="0"/>
          <w:sz w:val="24"/>
        </w:rPr>
        <w:t>（二）改进情况</w:t>
      </w:r>
    </w:p>
    <w:p w:rsidR="00EC3342" w:rsidRPr="00EC3342" w:rsidRDefault="00EC3342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EC3342">
        <w:rPr>
          <w:rFonts w:ascii="宋体" w:eastAsia="宋体" w:hAnsi="宋体" w:cs="宋体" w:hint="eastAsia"/>
          <w:color w:val="333333"/>
          <w:kern w:val="0"/>
          <w:sz w:val="24"/>
        </w:rPr>
        <w:t>充分发挥政务新媒体、网络问政、政协“请你来协商”等作用，加强与群众沟通交流，</w:t>
      </w:r>
      <w:proofErr w:type="gramStart"/>
      <w:r w:rsidRPr="00EC3342">
        <w:rPr>
          <w:rFonts w:ascii="宋体" w:eastAsia="宋体" w:hAnsi="宋体" w:cs="宋体" w:hint="eastAsia"/>
          <w:color w:val="333333"/>
          <w:kern w:val="0"/>
          <w:sz w:val="24"/>
        </w:rPr>
        <w:t>既第一时间</w:t>
      </w:r>
      <w:proofErr w:type="gramEnd"/>
      <w:r w:rsidRPr="00EC3342">
        <w:rPr>
          <w:rFonts w:ascii="宋体" w:eastAsia="宋体" w:hAnsi="宋体" w:cs="宋体" w:hint="eastAsia"/>
          <w:color w:val="333333"/>
          <w:kern w:val="0"/>
          <w:sz w:val="24"/>
        </w:rPr>
        <w:t>发布信息、解读政策，又主动倾听民声、了解民意。</w:t>
      </w:r>
    </w:p>
    <w:p w:rsidR="00706F4E" w:rsidRDefault="00706F4E" w:rsidP="00706F4E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六、其他需要报告的事项</w:t>
      </w:r>
    </w:p>
    <w:p w:rsidR="006E5836" w:rsidRDefault="00EC3342" w:rsidP="00EC3342">
      <w:pPr>
        <w:ind w:firstLineChars="200" w:firstLine="460"/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无。</w:t>
      </w:r>
    </w:p>
    <w:sectPr w:rsidR="006E5836" w:rsidSect="006E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AF" w:rsidRDefault="00EF0FAF" w:rsidP="00706F4E">
      <w:r>
        <w:separator/>
      </w:r>
    </w:p>
  </w:endnote>
  <w:endnote w:type="continuationSeparator" w:id="0">
    <w:p w:rsidR="00EF0FAF" w:rsidRDefault="00EF0FAF" w:rsidP="0070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AF" w:rsidRDefault="00EF0FAF" w:rsidP="00706F4E">
      <w:r>
        <w:separator/>
      </w:r>
    </w:p>
  </w:footnote>
  <w:footnote w:type="continuationSeparator" w:id="0">
    <w:p w:rsidR="00EF0FAF" w:rsidRDefault="00EF0FAF" w:rsidP="0070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F4E"/>
    <w:rsid w:val="00001B1A"/>
    <w:rsid w:val="000F36E8"/>
    <w:rsid w:val="004D2385"/>
    <w:rsid w:val="0059584E"/>
    <w:rsid w:val="006E5836"/>
    <w:rsid w:val="00706F4E"/>
    <w:rsid w:val="007A790E"/>
    <w:rsid w:val="00957482"/>
    <w:rsid w:val="009814BE"/>
    <w:rsid w:val="00A80649"/>
    <w:rsid w:val="00AA125A"/>
    <w:rsid w:val="00B13601"/>
    <w:rsid w:val="00B75634"/>
    <w:rsid w:val="00BA098D"/>
    <w:rsid w:val="00CB7EE4"/>
    <w:rsid w:val="00D05A3B"/>
    <w:rsid w:val="00D52E8B"/>
    <w:rsid w:val="00E9013F"/>
    <w:rsid w:val="00EC3342"/>
    <w:rsid w:val="00E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274</Words>
  <Characters>1564</Characters>
  <Application>Microsoft Office Word</Application>
  <DocSecurity>0</DocSecurity>
  <Lines>13</Lines>
  <Paragraphs>3</Paragraphs>
  <ScaleCrop>false</ScaleCrop>
  <Company>china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姜倩宜</dc:creator>
  <cp:keywords/>
  <dc:description/>
  <cp:lastModifiedBy>姜倩宜</cp:lastModifiedBy>
  <cp:revision>13</cp:revision>
  <dcterms:created xsi:type="dcterms:W3CDTF">2021-01-14T02:50:00Z</dcterms:created>
  <dcterms:modified xsi:type="dcterms:W3CDTF">2021-01-20T09:18:00Z</dcterms:modified>
</cp:coreProperties>
</file>